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4EF" w:rsidRPr="007F6692" w:rsidRDefault="007F6692" w:rsidP="000C6DBC">
      <w:pPr>
        <w:spacing w:after="80"/>
        <w:jc w:val="center"/>
        <w:rPr>
          <w:b/>
          <w:sz w:val="28"/>
          <w:szCs w:val="28"/>
        </w:rPr>
      </w:pPr>
      <w:r w:rsidRPr="007F6692">
        <w:rPr>
          <w:b/>
          <w:sz w:val="28"/>
          <w:szCs w:val="28"/>
        </w:rPr>
        <w:t>PIAFStat-Verfahren</w:t>
      </w:r>
      <w:r w:rsidR="00B95187">
        <w:rPr>
          <w:b/>
          <w:sz w:val="28"/>
          <w:szCs w:val="28"/>
        </w:rPr>
        <w:t xml:space="preserve">sgruppe </w:t>
      </w:r>
      <w:r w:rsidR="000C6DBC">
        <w:rPr>
          <w:b/>
          <w:sz w:val="28"/>
          <w:szCs w:val="28"/>
        </w:rPr>
        <w:t>‚</w:t>
      </w:r>
      <w:r w:rsidR="002054EF">
        <w:rPr>
          <w:b/>
          <w:sz w:val="28"/>
          <w:szCs w:val="28"/>
        </w:rPr>
        <w:t>Hohenheim-Gülzower-Serienauswertung</w:t>
      </w:r>
      <w:r w:rsidR="000C6DBC">
        <w:rPr>
          <w:b/>
          <w:sz w:val="28"/>
          <w:szCs w:val="28"/>
        </w:rPr>
        <w:t>‘ (HGM)</w:t>
      </w:r>
    </w:p>
    <w:p w:rsidR="005105DD" w:rsidRPr="008D6CF0" w:rsidRDefault="00D2334D" w:rsidP="00D16486">
      <w:pPr>
        <w:jc w:val="both"/>
        <w:rPr>
          <w:caps/>
          <w:color w:val="7F7F7F" w:themeColor="text1" w:themeTint="80"/>
          <w:sz w:val="18"/>
          <w:szCs w:val="18"/>
        </w:rPr>
      </w:pPr>
      <w:r w:rsidRPr="008D6CF0">
        <w:rPr>
          <w:caps/>
          <w:color w:val="7F7F7F" w:themeColor="text1" w:themeTint="80"/>
          <w:sz w:val="18"/>
          <w:szCs w:val="18"/>
        </w:rPr>
        <w:t xml:space="preserve">Stand </w:t>
      </w:r>
      <w:r w:rsidR="00BE1AF1">
        <w:rPr>
          <w:caps/>
          <w:color w:val="7F7F7F" w:themeColor="text1" w:themeTint="80"/>
          <w:sz w:val="18"/>
          <w:szCs w:val="18"/>
        </w:rPr>
        <w:t>11.11</w:t>
      </w:r>
      <w:bookmarkStart w:id="0" w:name="_GoBack"/>
      <w:bookmarkEnd w:id="0"/>
      <w:r w:rsidR="002E75CB" w:rsidRPr="002E75CB">
        <w:rPr>
          <w:caps/>
          <w:color w:val="7F7F7F" w:themeColor="text1" w:themeTint="80"/>
          <w:sz w:val="18"/>
          <w:szCs w:val="18"/>
        </w:rPr>
        <w:t>.202</w:t>
      </w:r>
      <w:r w:rsidR="009F1425">
        <w:rPr>
          <w:caps/>
          <w:color w:val="7F7F7F" w:themeColor="text1" w:themeTint="80"/>
          <w:sz w:val="18"/>
          <w:szCs w:val="18"/>
        </w:rPr>
        <w:t>4</w:t>
      </w:r>
      <w:r w:rsidR="00CB75D2">
        <w:rPr>
          <w:caps/>
          <w:color w:val="7F7F7F" w:themeColor="text1" w:themeTint="80"/>
          <w:sz w:val="18"/>
          <w:szCs w:val="18"/>
        </w:rPr>
        <w:t xml:space="preserve">   </w:t>
      </w:r>
    </w:p>
    <w:p w:rsidR="005A4370" w:rsidRDefault="009F1425" w:rsidP="009F1425">
      <w:pPr>
        <w:pStyle w:val="DeckblattBearbeiter"/>
        <w:ind w:left="0" w:firstLine="0"/>
        <w:jc w:val="both"/>
        <w:rPr>
          <w:rFonts w:ascii="Arial" w:hAnsi="Arial"/>
          <w:b w:val="0"/>
          <w:bCs w:val="0"/>
          <w:color w:val="FF0000"/>
          <w:sz w:val="20"/>
        </w:rPr>
      </w:pPr>
      <w:r>
        <w:rPr>
          <w:rFonts w:ascii="Arial" w:hAnsi="Arial"/>
          <w:b w:val="0"/>
          <w:bCs w:val="0"/>
          <w:color w:val="FF0000"/>
          <w:sz w:val="20"/>
        </w:rPr>
        <w:t xml:space="preserve">Die drei Verfahren </w:t>
      </w:r>
      <w:r w:rsidR="002054EF">
        <w:rPr>
          <w:rFonts w:ascii="Arial" w:hAnsi="Arial"/>
          <w:b w:val="0"/>
          <w:bCs w:val="0"/>
          <w:color w:val="FF0000"/>
          <w:sz w:val="20"/>
        </w:rPr>
        <w:t>PHI</w:t>
      </w:r>
      <w:r>
        <w:rPr>
          <w:rFonts w:ascii="Arial" w:hAnsi="Arial"/>
          <w:b w:val="0"/>
          <w:bCs w:val="0"/>
          <w:color w:val="FF0000"/>
          <w:sz w:val="20"/>
        </w:rPr>
        <w:t xml:space="preserve">, </w:t>
      </w:r>
      <w:r w:rsidR="002054EF">
        <w:rPr>
          <w:rFonts w:ascii="Arial" w:hAnsi="Arial"/>
          <w:b w:val="0"/>
          <w:bCs w:val="0"/>
          <w:color w:val="FF0000"/>
          <w:sz w:val="20"/>
        </w:rPr>
        <w:t>VK</w:t>
      </w:r>
      <w:r>
        <w:rPr>
          <w:rFonts w:ascii="Arial" w:hAnsi="Arial"/>
          <w:b w:val="0"/>
          <w:bCs w:val="0"/>
          <w:color w:val="FF0000"/>
          <w:sz w:val="20"/>
        </w:rPr>
        <w:t xml:space="preserve"> und </w:t>
      </w:r>
      <w:r w:rsidR="002054EF">
        <w:rPr>
          <w:rFonts w:ascii="Arial" w:hAnsi="Arial"/>
          <w:b w:val="0"/>
          <w:bCs w:val="0"/>
          <w:color w:val="FF0000"/>
          <w:sz w:val="20"/>
        </w:rPr>
        <w:t>MW</w:t>
      </w:r>
      <w:r>
        <w:rPr>
          <w:rFonts w:ascii="Arial" w:hAnsi="Arial"/>
          <w:b w:val="0"/>
          <w:bCs w:val="0"/>
          <w:color w:val="FF0000"/>
          <w:sz w:val="20"/>
        </w:rPr>
        <w:t xml:space="preserve"> nutzen z.T. gleiche Funktionen. Daher sollten alle drei Verfahren immer gemeinsam aktualisiert werden, sonst kann es zu Fehlern oder zum Absturz des Runs kommen. </w:t>
      </w:r>
    </w:p>
    <w:p w:rsidR="009F1425" w:rsidRDefault="005A4370" w:rsidP="009B0DAD">
      <w:pPr>
        <w:pStyle w:val="DeckblattBearbeiter"/>
        <w:spacing w:before="80"/>
        <w:ind w:left="0" w:firstLine="0"/>
        <w:jc w:val="both"/>
        <w:rPr>
          <w:rFonts w:ascii="Arial" w:hAnsi="Arial"/>
          <w:b w:val="0"/>
          <w:bCs w:val="0"/>
          <w:color w:val="FF0000"/>
          <w:sz w:val="20"/>
        </w:rPr>
      </w:pPr>
      <w:r>
        <w:rPr>
          <w:rFonts w:ascii="Arial" w:hAnsi="Arial"/>
          <w:b w:val="0"/>
          <w:bCs w:val="0"/>
          <w:color w:val="FF0000"/>
          <w:sz w:val="20"/>
        </w:rPr>
        <w:t>A</w:t>
      </w:r>
      <w:r w:rsidR="002F58F1" w:rsidRPr="002F58F1">
        <w:rPr>
          <w:rFonts w:ascii="Arial" w:hAnsi="Arial"/>
          <w:b w:val="0"/>
          <w:bCs w:val="0"/>
          <w:color w:val="FF0000"/>
          <w:sz w:val="20"/>
        </w:rPr>
        <w:t xml:space="preserve">lte </w:t>
      </w:r>
      <w:r w:rsidR="009B0DAD">
        <w:rPr>
          <w:rFonts w:ascii="Arial" w:hAnsi="Arial"/>
          <w:b w:val="0"/>
          <w:bCs w:val="0"/>
          <w:color w:val="FF0000"/>
          <w:sz w:val="20"/>
        </w:rPr>
        <w:t xml:space="preserve">individuell eingerichtete </w:t>
      </w:r>
      <w:r w:rsidR="002F58F1" w:rsidRPr="002F58F1">
        <w:rPr>
          <w:rFonts w:ascii="Arial" w:hAnsi="Arial"/>
          <w:b w:val="0"/>
          <w:bCs w:val="0"/>
          <w:color w:val="FF0000"/>
          <w:sz w:val="20"/>
        </w:rPr>
        <w:t xml:space="preserve">Konfigurationen </w:t>
      </w:r>
      <w:r w:rsidR="009B0DAD">
        <w:rPr>
          <w:rFonts w:ascii="Arial" w:hAnsi="Arial"/>
          <w:b w:val="0"/>
          <w:bCs w:val="0"/>
          <w:color w:val="FF0000"/>
          <w:sz w:val="20"/>
        </w:rPr>
        <w:t>(</w:t>
      </w:r>
      <w:r w:rsidR="002F58F1" w:rsidRPr="002F58F1">
        <w:rPr>
          <w:rFonts w:ascii="Arial" w:hAnsi="Arial"/>
          <w:b w:val="0"/>
          <w:bCs w:val="0"/>
          <w:color w:val="FF0000"/>
          <w:sz w:val="20"/>
        </w:rPr>
        <w:t>Optionseinstellungen</w:t>
      </w:r>
      <w:r w:rsidR="009B0DAD">
        <w:rPr>
          <w:rFonts w:ascii="Arial" w:hAnsi="Arial"/>
          <w:b w:val="0"/>
          <w:bCs w:val="0"/>
          <w:color w:val="FF0000"/>
          <w:sz w:val="20"/>
        </w:rPr>
        <w:t>)</w:t>
      </w:r>
      <w:r w:rsidR="002F58F1" w:rsidRPr="002F58F1">
        <w:rPr>
          <w:rFonts w:ascii="Arial" w:hAnsi="Arial"/>
          <w:b w:val="0"/>
          <w:bCs w:val="0"/>
          <w:color w:val="FF0000"/>
          <w:sz w:val="20"/>
        </w:rPr>
        <w:t xml:space="preserve"> sollten neu erstellt werden.</w:t>
      </w:r>
    </w:p>
    <w:p w:rsidR="00710E9F" w:rsidRDefault="00710E9F" w:rsidP="00F621E8">
      <w:pPr>
        <w:spacing w:after="120"/>
        <w:jc w:val="both"/>
        <w:rPr>
          <w:b/>
          <w:caps/>
        </w:rPr>
      </w:pPr>
    </w:p>
    <w:p w:rsidR="004A5AC0" w:rsidRPr="00951238" w:rsidRDefault="004A5AC0" w:rsidP="004A5AC0">
      <w:pPr>
        <w:spacing w:after="120"/>
        <w:rPr>
          <w:rFonts w:ascii="Arial" w:hAnsi="Arial" w:cs="Arial"/>
          <w:b/>
          <w:color w:val="1F3864" w:themeColor="accent5" w:themeShade="80"/>
        </w:rPr>
      </w:pPr>
      <w:r w:rsidRPr="00951238">
        <w:rPr>
          <w:rFonts w:ascii="Arial" w:hAnsi="Arial" w:cs="Arial"/>
          <w:b/>
          <w:caps/>
          <w:color w:val="1F3864" w:themeColor="accent5" w:themeShade="80"/>
        </w:rPr>
        <w:t>Neuerungen</w:t>
      </w:r>
      <w:r w:rsidRPr="00951238">
        <w:rPr>
          <w:rFonts w:ascii="Arial" w:hAnsi="Arial" w:cs="Arial"/>
          <w:b/>
          <w:color w:val="1F3864" w:themeColor="accent5" w:themeShade="80"/>
        </w:rPr>
        <w:t xml:space="preserve"> in</w:t>
      </w:r>
      <w:r w:rsidRPr="00951238">
        <w:rPr>
          <w:rFonts w:ascii="Arial" w:hAnsi="Arial" w:cs="Arial"/>
          <w:color w:val="1F3864" w:themeColor="accent5" w:themeShade="80"/>
          <w:sz w:val="20"/>
        </w:rPr>
        <w:t xml:space="preserve"> </w:t>
      </w:r>
      <w:r w:rsidR="0044764F">
        <w:rPr>
          <w:rFonts w:ascii="Arial" w:hAnsi="Arial" w:cs="Arial"/>
          <w:b/>
          <w:color w:val="1F3864" w:themeColor="accent5" w:themeShade="80"/>
        </w:rPr>
        <w:t>den</w:t>
      </w:r>
      <w:r w:rsidRPr="00951238">
        <w:rPr>
          <w:rFonts w:ascii="Arial" w:hAnsi="Arial" w:cs="Arial"/>
          <w:b/>
          <w:color w:val="1F3864" w:themeColor="accent5" w:themeShade="80"/>
        </w:rPr>
        <w:t xml:space="preserve"> drei </w:t>
      </w:r>
      <w:r w:rsidR="0044764F">
        <w:rPr>
          <w:rFonts w:ascii="Arial" w:hAnsi="Arial" w:cs="Arial"/>
          <w:b/>
          <w:color w:val="1F3864" w:themeColor="accent5" w:themeShade="80"/>
        </w:rPr>
        <w:t>Kern-</w:t>
      </w:r>
      <w:r w:rsidRPr="00951238">
        <w:rPr>
          <w:rFonts w:ascii="Arial" w:hAnsi="Arial" w:cs="Arial"/>
          <w:b/>
          <w:color w:val="1F3864" w:themeColor="accent5" w:themeShade="80"/>
        </w:rPr>
        <w:t>Verfahren</w:t>
      </w:r>
      <w:r w:rsidRPr="00951238">
        <w:rPr>
          <w:rFonts w:ascii="Arial" w:hAnsi="Arial" w:cs="Arial"/>
          <w:b/>
          <w:caps/>
          <w:color w:val="1F3864" w:themeColor="accent5" w:themeShade="80"/>
        </w:rPr>
        <w:t xml:space="preserve"> </w:t>
      </w:r>
      <w:r w:rsidRPr="00951238">
        <w:rPr>
          <w:rFonts w:ascii="Arial" w:hAnsi="Arial" w:cs="Arial"/>
          <w:b/>
          <w:color w:val="1F3864" w:themeColor="accent5" w:themeShade="80"/>
        </w:rPr>
        <w:t>ab</w:t>
      </w:r>
      <w:r w:rsidRPr="00951238">
        <w:rPr>
          <w:rFonts w:ascii="Arial" w:hAnsi="Arial" w:cs="Arial"/>
          <w:b/>
          <w:caps/>
          <w:color w:val="1F3864" w:themeColor="accent5" w:themeShade="80"/>
        </w:rPr>
        <w:t xml:space="preserve"> </w:t>
      </w:r>
      <w:r w:rsidR="002054EF" w:rsidRPr="00951238">
        <w:rPr>
          <w:rFonts w:ascii="Arial" w:hAnsi="Arial" w:cs="Arial"/>
          <w:b/>
          <w:caps/>
          <w:color w:val="1F3864" w:themeColor="accent5" w:themeShade="80"/>
        </w:rPr>
        <w:t>4</w:t>
      </w:r>
      <w:r w:rsidRPr="00951238">
        <w:rPr>
          <w:rFonts w:ascii="Arial" w:hAnsi="Arial" w:cs="Arial"/>
          <w:b/>
          <w:caps/>
          <w:color w:val="1F3864" w:themeColor="accent5" w:themeShade="80"/>
        </w:rPr>
        <w:t xml:space="preserve"> / 2024</w:t>
      </w:r>
    </w:p>
    <w:p w:rsidR="00E949CC" w:rsidRPr="00951238" w:rsidRDefault="00E949CC" w:rsidP="00B96138">
      <w:pPr>
        <w:pStyle w:val="Listenabsatz"/>
        <w:numPr>
          <w:ilvl w:val="0"/>
          <w:numId w:val="11"/>
        </w:numPr>
        <w:spacing w:after="120" w:line="240" w:lineRule="auto"/>
        <w:ind w:hanging="357"/>
        <w:contextualSpacing w:val="0"/>
        <w:rPr>
          <w:color w:val="1F3864" w:themeColor="accent5" w:themeShade="80"/>
        </w:rPr>
      </w:pPr>
      <w:r w:rsidRPr="00951238">
        <w:rPr>
          <w:color w:val="1F3864" w:themeColor="accent5" w:themeShade="80"/>
        </w:rPr>
        <w:t>Outputs erfolgen für die aktuellen MS-Office-Versionen von Word, Excel und Access</w:t>
      </w:r>
    </w:p>
    <w:p w:rsidR="00B616CD" w:rsidRDefault="00B616CD" w:rsidP="00B96138">
      <w:pPr>
        <w:pStyle w:val="Listenabsatz"/>
        <w:numPr>
          <w:ilvl w:val="0"/>
          <w:numId w:val="10"/>
        </w:numPr>
        <w:spacing w:after="120" w:line="240" w:lineRule="auto"/>
        <w:ind w:hanging="357"/>
        <w:contextualSpacing w:val="0"/>
        <w:rPr>
          <w:color w:val="1F3864" w:themeColor="accent5" w:themeShade="80"/>
        </w:rPr>
      </w:pPr>
      <w:r w:rsidRPr="00951238">
        <w:rPr>
          <w:color w:val="1F3864" w:themeColor="accent5" w:themeShade="80"/>
        </w:rPr>
        <w:t>die Option O53 ‚Gewichtung nach SE‘ kann in jetzt auch genutzt werden, wenn (noch) nicht in allen einbezogenen Versuchen SE</w:t>
      </w:r>
      <w:r>
        <w:rPr>
          <w:color w:val="1F3864" w:themeColor="accent5" w:themeShade="80"/>
        </w:rPr>
        <w:t xml:space="preserve"> gespeichert sind</w:t>
      </w:r>
      <w:r w:rsidRPr="00951238">
        <w:rPr>
          <w:color w:val="1F3864" w:themeColor="accent5" w:themeShade="80"/>
        </w:rPr>
        <w:t xml:space="preserve"> </w:t>
      </w:r>
      <w:r>
        <w:rPr>
          <w:color w:val="1F3864" w:themeColor="accent5" w:themeShade="80"/>
        </w:rPr>
        <w:t xml:space="preserve">(betrifft </w:t>
      </w:r>
      <w:r w:rsidRPr="00951238">
        <w:rPr>
          <w:color w:val="1F3864" w:themeColor="accent5" w:themeShade="80"/>
        </w:rPr>
        <w:t>VK und MW</w:t>
      </w:r>
      <w:r>
        <w:rPr>
          <w:color w:val="1F3864" w:themeColor="accent5" w:themeShade="80"/>
        </w:rPr>
        <w:t>)</w:t>
      </w:r>
      <w:r w:rsidRPr="00951238">
        <w:rPr>
          <w:color w:val="1F3864" w:themeColor="accent5" w:themeShade="80"/>
        </w:rPr>
        <w:t xml:space="preserve"> </w:t>
      </w:r>
    </w:p>
    <w:p w:rsidR="00B96138" w:rsidRDefault="00B96138" w:rsidP="00B96138">
      <w:pPr>
        <w:pStyle w:val="Listenabsatz"/>
        <w:numPr>
          <w:ilvl w:val="0"/>
          <w:numId w:val="10"/>
        </w:numPr>
        <w:spacing w:after="120" w:line="240" w:lineRule="auto"/>
        <w:ind w:hanging="357"/>
        <w:contextualSpacing w:val="0"/>
        <w:rPr>
          <w:color w:val="1F3864" w:themeColor="accent5" w:themeShade="80"/>
        </w:rPr>
      </w:pPr>
      <w:r>
        <w:rPr>
          <w:color w:val="1F3864" w:themeColor="accent5" w:themeShade="80"/>
        </w:rPr>
        <w:t>Ein</w:t>
      </w:r>
      <w:r w:rsidR="00B616CD" w:rsidRPr="00B96138">
        <w:rPr>
          <w:color w:val="1F3864" w:themeColor="accent5" w:themeShade="80"/>
        </w:rPr>
        <w:t xml:space="preserve"> </w:t>
      </w:r>
      <w:r w:rsidRPr="00B96138">
        <w:rPr>
          <w:color w:val="1F3864" w:themeColor="accent5" w:themeShade="80"/>
        </w:rPr>
        <w:t>weiteres</w:t>
      </w:r>
      <w:r w:rsidR="00B616CD" w:rsidRPr="00B96138">
        <w:rPr>
          <w:color w:val="1F3864" w:themeColor="accent5" w:themeShade="80"/>
        </w:rPr>
        <w:t xml:space="preserve"> Verfahren DAT wird nun mitgeliefert</w:t>
      </w:r>
      <w:r w:rsidRPr="00B96138">
        <w:rPr>
          <w:color w:val="1F3864" w:themeColor="accent5" w:themeShade="80"/>
        </w:rPr>
        <w:t xml:space="preserve">: zum Auslesen einer Serien-ADS als </w:t>
      </w:r>
      <w:r>
        <w:rPr>
          <w:color w:val="1F3864" w:themeColor="accent5" w:themeShade="80"/>
        </w:rPr>
        <w:t>externe Excel-Datei</w:t>
      </w:r>
    </w:p>
    <w:p w:rsidR="00E949CC" w:rsidRPr="00B96138" w:rsidRDefault="00E949CC" w:rsidP="00B96138">
      <w:pPr>
        <w:pStyle w:val="Listenabsatz"/>
        <w:numPr>
          <w:ilvl w:val="0"/>
          <w:numId w:val="10"/>
        </w:numPr>
        <w:spacing w:after="120" w:line="240" w:lineRule="auto"/>
        <w:ind w:hanging="357"/>
        <w:contextualSpacing w:val="0"/>
        <w:rPr>
          <w:color w:val="1F3864" w:themeColor="accent5" w:themeShade="80"/>
        </w:rPr>
      </w:pPr>
      <w:r w:rsidRPr="00B96138">
        <w:rPr>
          <w:color w:val="1F3864" w:themeColor="accent5" w:themeShade="80"/>
        </w:rPr>
        <w:t>nutzerfreundlich</w:t>
      </w:r>
      <w:r w:rsidR="00B96138">
        <w:rPr>
          <w:color w:val="1F3864" w:themeColor="accent5" w:themeShade="80"/>
        </w:rPr>
        <w:t xml:space="preserve">ere und zielführendere Optionen, </w:t>
      </w:r>
      <w:r w:rsidR="00B96138" w:rsidRPr="00951238">
        <w:rPr>
          <w:color w:val="1F3864" w:themeColor="accent5" w:themeShade="80"/>
        </w:rPr>
        <w:t>Struktur, Bezeichnung und Nummerierung der Optionen zwischen PHI, VK und MW abgeglichen</w:t>
      </w:r>
    </w:p>
    <w:p w:rsidR="0044764F" w:rsidRDefault="00E949CC" w:rsidP="00B96138">
      <w:pPr>
        <w:pStyle w:val="Listenabsatz"/>
        <w:numPr>
          <w:ilvl w:val="0"/>
          <w:numId w:val="10"/>
        </w:numPr>
        <w:spacing w:after="120" w:line="240" w:lineRule="auto"/>
        <w:ind w:hanging="357"/>
        <w:contextualSpacing w:val="0"/>
        <w:rPr>
          <w:color w:val="1F3864" w:themeColor="accent5" w:themeShade="80"/>
        </w:rPr>
      </w:pPr>
      <w:r w:rsidRPr="0044764F">
        <w:rPr>
          <w:color w:val="1F3864" w:themeColor="accent5" w:themeShade="80"/>
        </w:rPr>
        <w:t xml:space="preserve">Excel-Tabellen jetzt gleichwertige </w:t>
      </w:r>
      <w:r w:rsidR="0044764F">
        <w:rPr>
          <w:color w:val="1F3864" w:themeColor="accent5" w:themeShade="80"/>
        </w:rPr>
        <w:t>Alternative zu Access-Tabellen</w:t>
      </w:r>
    </w:p>
    <w:p w:rsidR="00B96138" w:rsidRPr="0044764F" w:rsidRDefault="00E949CC" w:rsidP="00B96138">
      <w:pPr>
        <w:pStyle w:val="Listenabsatz"/>
        <w:numPr>
          <w:ilvl w:val="0"/>
          <w:numId w:val="10"/>
        </w:numPr>
        <w:spacing w:after="120" w:line="240" w:lineRule="auto"/>
        <w:ind w:hanging="357"/>
        <w:contextualSpacing w:val="0"/>
        <w:rPr>
          <w:color w:val="1F3864" w:themeColor="accent5" w:themeShade="80"/>
        </w:rPr>
      </w:pPr>
      <w:r w:rsidRPr="00951238">
        <w:rPr>
          <w:color w:val="1F3864" w:themeColor="accent5" w:themeShade="80"/>
        </w:rPr>
        <w:t>verbesserte Formatierungen</w:t>
      </w:r>
      <w:r w:rsidR="00B96138">
        <w:rPr>
          <w:color w:val="1F3864" w:themeColor="accent5" w:themeShade="80"/>
        </w:rPr>
        <w:t>,</w:t>
      </w:r>
      <w:r w:rsidRPr="00951238">
        <w:rPr>
          <w:color w:val="1F3864" w:themeColor="accent5" w:themeShade="80"/>
        </w:rPr>
        <w:t xml:space="preserve"> </w:t>
      </w:r>
      <w:r w:rsidR="00B96138" w:rsidRPr="0044764F">
        <w:rPr>
          <w:color w:val="1F3864" w:themeColor="accent5" w:themeShade="80"/>
        </w:rPr>
        <w:t>strukturiertere Tabellen und verständlichere Bezeichnungen im Output</w:t>
      </w:r>
    </w:p>
    <w:p w:rsidR="00E949CC" w:rsidRPr="00951238" w:rsidRDefault="00E949CC" w:rsidP="00B96138">
      <w:pPr>
        <w:pStyle w:val="Listenabsatz"/>
        <w:numPr>
          <w:ilvl w:val="0"/>
          <w:numId w:val="10"/>
        </w:numPr>
        <w:spacing w:after="120" w:line="240" w:lineRule="auto"/>
        <w:ind w:hanging="357"/>
        <w:contextualSpacing w:val="0"/>
        <w:rPr>
          <w:color w:val="1F3864" w:themeColor="accent5" w:themeShade="80"/>
        </w:rPr>
      </w:pPr>
      <w:r w:rsidRPr="00951238">
        <w:rPr>
          <w:color w:val="1F3864" w:themeColor="accent5" w:themeShade="80"/>
        </w:rPr>
        <w:t>Unterstützung bei Plausibilitäts-Checks:</w:t>
      </w:r>
    </w:p>
    <w:p w:rsidR="00E949CC" w:rsidRPr="00951238" w:rsidRDefault="00E949CC" w:rsidP="00B96138">
      <w:pPr>
        <w:pStyle w:val="Listenabsatz"/>
        <w:numPr>
          <w:ilvl w:val="1"/>
          <w:numId w:val="10"/>
        </w:numPr>
        <w:spacing w:after="120" w:line="240" w:lineRule="auto"/>
        <w:ind w:hanging="357"/>
        <w:contextualSpacing w:val="0"/>
        <w:rPr>
          <w:color w:val="1F3864" w:themeColor="accent5" w:themeShade="80"/>
        </w:rPr>
      </w:pPr>
      <w:r w:rsidRPr="00951238">
        <w:rPr>
          <w:color w:val="1F3864" w:themeColor="accent5" w:themeShade="80"/>
        </w:rPr>
        <w:t xml:space="preserve">im Excel-Output von MW (3 Tabellenreiter: ‚Plausibilitätsprüfung‘ </w:t>
      </w:r>
      <w:r w:rsidR="0065236F">
        <w:rPr>
          <w:color w:val="1F3864" w:themeColor="accent5" w:themeShade="80"/>
        </w:rPr>
        <w:t xml:space="preserve"> </w:t>
      </w:r>
      <w:r w:rsidRPr="00951238">
        <w:rPr>
          <w:color w:val="1F3864" w:themeColor="accent5" w:themeShade="80"/>
        </w:rPr>
        <w:t>‚Erläuterung Plausibilität‘</w:t>
      </w:r>
      <w:r w:rsidR="0065236F">
        <w:rPr>
          <w:color w:val="1F3864" w:themeColor="accent5" w:themeShade="80"/>
        </w:rPr>
        <w:t xml:space="preserve"> </w:t>
      </w:r>
      <w:r w:rsidRPr="00951238">
        <w:rPr>
          <w:color w:val="1F3864" w:themeColor="accent5" w:themeShade="80"/>
        </w:rPr>
        <w:t xml:space="preserve"> ‚Histogramme‘)</w:t>
      </w:r>
    </w:p>
    <w:p w:rsidR="00E949CC" w:rsidRPr="00951238" w:rsidRDefault="00E949CC" w:rsidP="00B96138">
      <w:pPr>
        <w:pStyle w:val="Listenabsatz"/>
        <w:numPr>
          <w:ilvl w:val="1"/>
          <w:numId w:val="10"/>
        </w:numPr>
        <w:spacing w:after="120" w:line="240" w:lineRule="auto"/>
        <w:ind w:hanging="357"/>
        <w:contextualSpacing w:val="0"/>
        <w:rPr>
          <w:color w:val="1F3864" w:themeColor="accent5" w:themeShade="80"/>
        </w:rPr>
      </w:pPr>
      <w:r w:rsidRPr="00951238">
        <w:rPr>
          <w:color w:val="1F3864" w:themeColor="accent5" w:themeShade="80"/>
        </w:rPr>
        <w:t>in PHI Option O33 von Herrn Eckl hilfreich, um schon vor Beginn der Prozeduren auf Auffälligkeiten aufmerksam zu werden</w:t>
      </w:r>
    </w:p>
    <w:p w:rsidR="00BE1AF1" w:rsidRPr="00951238" w:rsidRDefault="00BE1AF1" w:rsidP="00BE1AF1">
      <w:pPr>
        <w:pStyle w:val="Listenabsatz"/>
        <w:numPr>
          <w:ilvl w:val="0"/>
          <w:numId w:val="12"/>
        </w:numPr>
        <w:spacing w:after="120" w:line="240" w:lineRule="auto"/>
        <w:ind w:hanging="357"/>
        <w:contextualSpacing w:val="0"/>
        <w:jc w:val="both"/>
        <w:rPr>
          <w:color w:val="1F3864" w:themeColor="accent5" w:themeShade="80"/>
          <w:sz w:val="20"/>
          <w:szCs w:val="20"/>
        </w:rPr>
      </w:pPr>
      <w:r>
        <w:rPr>
          <w:color w:val="1F3864" w:themeColor="accent5" w:themeShade="80"/>
        </w:rPr>
        <w:t>Parameter der Ökostabilität werden stabil ausgegeben; Detektion von „Intensivsorten“ und „Extensivsorten“</w:t>
      </w:r>
    </w:p>
    <w:p w:rsidR="00C24390" w:rsidRPr="00BE1AF1" w:rsidRDefault="004A5AC0" w:rsidP="00B96138">
      <w:pPr>
        <w:pStyle w:val="Listenabsatz"/>
        <w:numPr>
          <w:ilvl w:val="0"/>
          <w:numId w:val="12"/>
        </w:numPr>
        <w:spacing w:after="120" w:line="240" w:lineRule="auto"/>
        <w:ind w:hanging="357"/>
        <w:contextualSpacing w:val="0"/>
        <w:jc w:val="both"/>
        <w:rPr>
          <w:color w:val="1F3864" w:themeColor="accent5" w:themeShade="80"/>
          <w:sz w:val="20"/>
          <w:szCs w:val="20"/>
        </w:rPr>
      </w:pPr>
      <w:r w:rsidRPr="00951238">
        <w:rPr>
          <w:color w:val="1F3864" w:themeColor="accent5" w:themeShade="80"/>
        </w:rPr>
        <w:t>Handb</w:t>
      </w:r>
      <w:r w:rsidR="00E949CC" w:rsidRPr="00951238">
        <w:rPr>
          <w:color w:val="1F3864" w:themeColor="accent5" w:themeShade="80"/>
        </w:rPr>
        <w:t>ü</w:t>
      </w:r>
      <w:r w:rsidRPr="00951238">
        <w:rPr>
          <w:color w:val="1F3864" w:themeColor="accent5" w:themeShade="80"/>
        </w:rPr>
        <w:t>ch</w:t>
      </w:r>
      <w:r w:rsidR="00E949CC" w:rsidRPr="00951238">
        <w:rPr>
          <w:color w:val="1F3864" w:themeColor="accent5" w:themeShade="80"/>
        </w:rPr>
        <w:t xml:space="preserve">er bezüglich </w:t>
      </w:r>
      <w:r w:rsidR="0065236F">
        <w:rPr>
          <w:color w:val="1F3864" w:themeColor="accent5" w:themeShade="80"/>
        </w:rPr>
        <w:t>Optionen</w:t>
      </w:r>
      <w:r w:rsidR="0065236F" w:rsidRPr="00951238">
        <w:rPr>
          <w:color w:val="1F3864" w:themeColor="accent5" w:themeShade="80"/>
        </w:rPr>
        <w:t xml:space="preserve"> </w:t>
      </w:r>
      <w:r w:rsidR="0065236F">
        <w:rPr>
          <w:color w:val="1F3864" w:themeColor="accent5" w:themeShade="80"/>
        </w:rPr>
        <w:t xml:space="preserve">in der </w:t>
      </w:r>
      <w:r w:rsidR="00E949CC" w:rsidRPr="00951238">
        <w:rPr>
          <w:color w:val="1F3864" w:themeColor="accent5" w:themeShade="80"/>
        </w:rPr>
        <w:t>Nutzeroberfläche</w:t>
      </w:r>
      <w:r w:rsidR="0065236F">
        <w:rPr>
          <w:color w:val="1F3864" w:themeColor="accent5" w:themeShade="80"/>
        </w:rPr>
        <w:t xml:space="preserve"> </w:t>
      </w:r>
      <w:r w:rsidR="00E949CC" w:rsidRPr="00951238">
        <w:rPr>
          <w:color w:val="1F3864" w:themeColor="accent5" w:themeShade="80"/>
        </w:rPr>
        <w:t>aktualisiert</w:t>
      </w:r>
    </w:p>
    <w:p w:rsidR="00354336" w:rsidRDefault="00354336" w:rsidP="00354336">
      <w:pPr>
        <w:spacing w:after="0" w:line="240" w:lineRule="auto"/>
        <w:jc w:val="both"/>
        <w:rPr>
          <w:sz w:val="20"/>
          <w:szCs w:val="20"/>
        </w:rPr>
      </w:pPr>
    </w:p>
    <w:p w:rsidR="00E949CC" w:rsidRDefault="00E949CC" w:rsidP="00E949CC">
      <w:pPr>
        <w:spacing w:after="0" w:line="240" w:lineRule="auto"/>
        <w:ind w:left="360"/>
        <w:jc w:val="both"/>
        <w:rPr>
          <w:sz w:val="20"/>
          <w:szCs w:val="20"/>
        </w:rPr>
      </w:pPr>
    </w:p>
    <w:p w:rsidR="00951238" w:rsidRDefault="00951238" w:rsidP="00E949CC">
      <w:pPr>
        <w:spacing w:after="0" w:line="240" w:lineRule="auto"/>
        <w:ind w:left="360"/>
        <w:jc w:val="both"/>
        <w:rPr>
          <w:sz w:val="20"/>
          <w:szCs w:val="20"/>
        </w:rPr>
      </w:pPr>
    </w:p>
    <w:p w:rsidR="0055209F" w:rsidRPr="00E949CC" w:rsidRDefault="0055209F" w:rsidP="0055209F">
      <w:pPr>
        <w:spacing w:after="0" w:line="240" w:lineRule="auto"/>
        <w:jc w:val="both"/>
        <w:rPr>
          <w:sz w:val="20"/>
          <w:szCs w:val="20"/>
        </w:rPr>
      </w:pPr>
      <w:r>
        <w:rPr>
          <w:sz w:val="20"/>
          <w:szCs w:val="20"/>
        </w:rPr>
        <w:t xml:space="preserve">Das zentrale Ziel, die Schätzung von Sorteneffekten bzw. </w:t>
      </w:r>
      <w:r w:rsidR="009B59B5">
        <w:rPr>
          <w:sz w:val="20"/>
          <w:szCs w:val="20"/>
        </w:rPr>
        <w:t>-u</w:t>
      </w:r>
      <w:r>
        <w:rPr>
          <w:sz w:val="20"/>
          <w:szCs w:val="20"/>
        </w:rPr>
        <w:t xml:space="preserve">nterschieden, wird mit dem Verfahren </w:t>
      </w:r>
      <w:r w:rsidRPr="0055209F">
        <w:rPr>
          <w:b/>
          <w:sz w:val="20"/>
          <w:szCs w:val="20"/>
        </w:rPr>
        <w:t>MW</w:t>
      </w:r>
      <w:r w:rsidR="00B96138">
        <w:rPr>
          <w:sz w:val="20"/>
          <w:szCs w:val="20"/>
        </w:rPr>
        <w:t xml:space="preserve"> </w:t>
      </w:r>
      <w:r>
        <w:rPr>
          <w:sz w:val="20"/>
          <w:szCs w:val="20"/>
        </w:rPr>
        <w:t xml:space="preserve">erzielt. </w:t>
      </w:r>
      <w:r w:rsidRPr="0055209F">
        <w:rPr>
          <w:b/>
          <w:sz w:val="20"/>
          <w:szCs w:val="20"/>
        </w:rPr>
        <w:t>PHI</w:t>
      </w:r>
      <w:r>
        <w:rPr>
          <w:sz w:val="20"/>
          <w:szCs w:val="20"/>
        </w:rPr>
        <w:t xml:space="preserve"> und </w:t>
      </w:r>
      <w:r w:rsidRPr="0055209F">
        <w:rPr>
          <w:b/>
          <w:sz w:val="20"/>
          <w:szCs w:val="20"/>
        </w:rPr>
        <w:t>VK</w:t>
      </w:r>
      <w:r>
        <w:rPr>
          <w:sz w:val="20"/>
          <w:szCs w:val="20"/>
        </w:rPr>
        <w:t xml:space="preserve"> sind vorgeschaltete Verfahren, wobei VK zwingend nötig ist, PHI dagegen optional (s.u</w:t>
      </w:r>
      <w:r w:rsidRPr="00B96138">
        <w:rPr>
          <w:sz w:val="20"/>
          <w:szCs w:val="20"/>
        </w:rPr>
        <w:t>.)</w:t>
      </w:r>
      <w:r w:rsidR="009B59B5" w:rsidRPr="00B96138">
        <w:rPr>
          <w:sz w:val="20"/>
          <w:szCs w:val="20"/>
        </w:rPr>
        <w:t>.</w:t>
      </w:r>
      <w:r w:rsidR="0044764F" w:rsidRPr="00B96138">
        <w:rPr>
          <w:sz w:val="20"/>
          <w:szCs w:val="20"/>
        </w:rPr>
        <w:t xml:space="preserve"> Das Hilfs-Verfahren ‚</w:t>
      </w:r>
      <w:r w:rsidR="00FB6FC0" w:rsidRPr="00B96138">
        <w:rPr>
          <w:sz w:val="20"/>
          <w:szCs w:val="20"/>
        </w:rPr>
        <w:t>DAT</w:t>
      </w:r>
      <w:r w:rsidR="0044764F" w:rsidRPr="00B96138">
        <w:rPr>
          <w:sz w:val="20"/>
          <w:szCs w:val="20"/>
        </w:rPr>
        <w:t>‘ wandelt eine ADS in eine externe Excel-Datei, welche anstelle oder in Kombination mit einer ADS in den Kernverfahren genutzt werden kann.</w:t>
      </w:r>
    </w:p>
    <w:p w:rsidR="005105DD" w:rsidRPr="004E316E" w:rsidRDefault="005105DD" w:rsidP="00C24390">
      <w:pPr>
        <w:spacing w:after="0" w:line="240" w:lineRule="auto"/>
        <w:jc w:val="both"/>
        <w:rPr>
          <w:sz w:val="20"/>
          <w:szCs w:val="20"/>
        </w:rPr>
      </w:pPr>
    </w:p>
    <w:p w:rsidR="007F6692" w:rsidRPr="005105DD" w:rsidRDefault="00E949CC" w:rsidP="00951238">
      <w:pPr>
        <w:pStyle w:val="Listenabsatz"/>
        <w:numPr>
          <w:ilvl w:val="0"/>
          <w:numId w:val="6"/>
        </w:numPr>
        <w:spacing w:after="120" w:line="240" w:lineRule="auto"/>
        <w:jc w:val="both"/>
        <w:rPr>
          <w:b/>
        </w:rPr>
      </w:pPr>
      <w:r>
        <w:rPr>
          <w:b/>
        </w:rPr>
        <w:t>PHI</w:t>
      </w:r>
    </w:p>
    <w:p w:rsidR="00437E87" w:rsidRDefault="00C941F6" w:rsidP="00951238">
      <w:pPr>
        <w:spacing w:after="120" w:line="240" w:lineRule="auto"/>
        <w:jc w:val="both"/>
        <w:rPr>
          <w:rFonts w:cs="Arial"/>
          <w:sz w:val="20"/>
        </w:rPr>
      </w:pPr>
      <w:r>
        <w:rPr>
          <w:rFonts w:cs="Arial"/>
          <w:sz w:val="20"/>
        </w:rPr>
        <w:t xml:space="preserve">Bei der Auswertung von mehrortigen langjährigen Versuchsserien im Sortenwesen wird eine Vielzahl von Versuchen einbezogen, die sich in der mittleren Ausprägung eines Merkmales häufig extrem, z.T. um ein Vielfaches, unterscheiden. </w:t>
      </w:r>
      <w:r w:rsidR="00437E87">
        <w:rPr>
          <w:rFonts w:cs="Arial"/>
          <w:sz w:val="20"/>
        </w:rPr>
        <w:t>Viele Versuchsansteller haben auch in balancierten Datenstrukturen</w:t>
      </w:r>
      <w:r w:rsidR="001C1582">
        <w:rPr>
          <w:rFonts w:cs="Arial"/>
          <w:sz w:val="20"/>
        </w:rPr>
        <w:t xml:space="preserve"> schon mal</w:t>
      </w:r>
      <w:r w:rsidR="00437E87">
        <w:rPr>
          <w:rFonts w:cs="Arial"/>
          <w:sz w:val="20"/>
        </w:rPr>
        <w:t xml:space="preserve"> festgestellt, dass es bei der Mittelwert</w:t>
      </w:r>
      <w:r w:rsidR="00437E87">
        <w:rPr>
          <w:rFonts w:cs="Arial"/>
          <w:sz w:val="20"/>
        </w:rPr>
        <w:softHyphen/>
        <w:t xml:space="preserve">bildung </w:t>
      </w:r>
      <w:r w:rsidR="001C1582">
        <w:rPr>
          <w:rFonts w:cs="Arial"/>
          <w:sz w:val="20"/>
        </w:rPr>
        <w:t>(</w:t>
      </w:r>
      <w:r w:rsidR="00437E87">
        <w:rPr>
          <w:rFonts w:cs="Arial"/>
          <w:sz w:val="20"/>
        </w:rPr>
        <w:t>z.B. von Erträgen</w:t>
      </w:r>
      <w:r w:rsidR="001C1582">
        <w:rPr>
          <w:rFonts w:cs="Arial"/>
          <w:sz w:val="20"/>
        </w:rPr>
        <w:t>)</w:t>
      </w:r>
      <w:r w:rsidR="00437E87">
        <w:rPr>
          <w:rFonts w:cs="Arial"/>
          <w:sz w:val="20"/>
        </w:rPr>
        <w:t xml:space="preserve"> über mehrere Versuche (Versuchsserie) einen Unterschied macht, ob man (a) zuerst die absoluten Werte mittelt und erst dann die Serienmittel in Relativzahlen wandelt oder ob man (b) zuerst in den Einzelversuchen Relativzahlen bildet und diese dann mittelt. Im letzteren Fall wird man feststellen, dass sich die Sorteneffekte </w:t>
      </w:r>
      <w:r w:rsidR="0044764F">
        <w:rPr>
          <w:rFonts w:cs="Arial"/>
          <w:sz w:val="20"/>
        </w:rPr>
        <w:t>ertragsschwächerer</w:t>
      </w:r>
      <w:r w:rsidR="00437E87">
        <w:rPr>
          <w:rFonts w:cs="Arial"/>
          <w:sz w:val="20"/>
        </w:rPr>
        <w:t xml:space="preserve"> Versuche im Serienmittel stärker niederschlagen</w:t>
      </w:r>
      <w:r w:rsidR="0044764F">
        <w:rPr>
          <w:rFonts w:cs="Arial"/>
          <w:sz w:val="20"/>
        </w:rPr>
        <w:t xml:space="preserve"> (und umgekehrt).</w:t>
      </w:r>
    </w:p>
    <w:p w:rsidR="00C941F6" w:rsidRDefault="00437E87" w:rsidP="00951238">
      <w:pPr>
        <w:spacing w:after="120" w:line="240" w:lineRule="auto"/>
        <w:jc w:val="both"/>
        <w:rPr>
          <w:rFonts w:cs="Arial"/>
          <w:sz w:val="20"/>
        </w:rPr>
      </w:pPr>
      <w:r>
        <w:rPr>
          <w:rFonts w:cs="Arial"/>
          <w:sz w:val="20"/>
        </w:rPr>
        <w:t xml:space="preserve">Die Frage ist nun, ob einer dieser beiden Ansätze oder </w:t>
      </w:r>
      <w:r w:rsidR="00CA339C">
        <w:rPr>
          <w:rFonts w:cs="Arial"/>
          <w:sz w:val="20"/>
        </w:rPr>
        <w:t xml:space="preserve">aber </w:t>
      </w:r>
      <w:r>
        <w:rPr>
          <w:rFonts w:cs="Arial"/>
          <w:sz w:val="20"/>
        </w:rPr>
        <w:t xml:space="preserve">auch </w:t>
      </w:r>
      <w:r w:rsidR="001C1582">
        <w:rPr>
          <w:rFonts w:cs="Arial"/>
          <w:sz w:val="20"/>
        </w:rPr>
        <w:t xml:space="preserve">ein </w:t>
      </w:r>
      <w:r>
        <w:rPr>
          <w:rFonts w:cs="Arial"/>
          <w:sz w:val="20"/>
        </w:rPr>
        <w:t xml:space="preserve">Ansatz zwischen beiden Extremen folgendes Ziel besser erfüllt: </w:t>
      </w:r>
      <w:r w:rsidR="00037733">
        <w:rPr>
          <w:rFonts w:cs="Arial"/>
          <w:sz w:val="20"/>
        </w:rPr>
        <w:t>Vorhersage</w:t>
      </w:r>
      <w:r>
        <w:rPr>
          <w:rFonts w:cs="Arial"/>
          <w:sz w:val="20"/>
        </w:rPr>
        <w:t xml:space="preserve"> der wahrscheinlichsten Sortene</w:t>
      </w:r>
      <w:r w:rsidR="00037733">
        <w:rPr>
          <w:rFonts w:cs="Arial"/>
          <w:sz w:val="20"/>
        </w:rPr>
        <w:t>ffekte i</w:t>
      </w:r>
      <w:r>
        <w:rPr>
          <w:rFonts w:cs="Arial"/>
          <w:sz w:val="20"/>
        </w:rPr>
        <w:t>n einem neuen Jahr an einem beliebigen Standort im Anbaugebiet</w:t>
      </w:r>
      <w:r w:rsidR="00CA339C">
        <w:rPr>
          <w:rFonts w:cs="Arial"/>
          <w:sz w:val="20"/>
        </w:rPr>
        <w:t xml:space="preserve"> mit noch nicht absehbarem (Ertrags-)Niveau</w:t>
      </w:r>
      <w:r>
        <w:rPr>
          <w:rFonts w:cs="Arial"/>
          <w:sz w:val="20"/>
        </w:rPr>
        <w:t xml:space="preserve">. </w:t>
      </w:r>
      <w:r w:rsidR="00C941F6">
        <w:rPr>
          <w:rFonts w:cs="Arial"/>
          <w:sz w:val="20"/>
        </w:rPr>
        <w:t xml:space="preserve">Dieses Ziel soll durch das Vorschalten des Verfahrens PHI vor die eigentliche Mittelwertschätzung unterstützt werden. </w:t>
      </w:r>
      <w:r>
        <w:rPr>
          <w:rFonts w:cs="Arial"/>
          <w:sz w:val="20"/>
        </w:rPr>
        <w:t>Im unbalancierten Fall</w:t>
      </w:r>
      <w:r w:rsidR="00567935">
        <w:rPr>
          <w:rFonts w:cs="Arial"/>
          <w:sz w:val="20"/>
        </w:rPr>
        <w:t xml:space="preserve"> </w:t>
      </w:r>
      <w:r w:rsidR="003328C6">
        <w:rPr>
          <w:rFonts w:cs="Arial"/>
          <w:sz w:val="20"/>
        </w:rPr>
        <w:t xml:space="preserve">(bei </w:t>
      </w:r>
      <w:r w:rsidR="00567935">
        <w:rPr>
          <w:rFonts w:cs="Arial"/>
          <w:sz w:val="20"/>
        </w:rPr>
        <w:t>nicht-</w:t>
      </w:r>
      <w:r w:rsidR="00567935">
        <w:rPr>
          <w:rFonts w:cs="Arial"/>
          <w:sz w:val="20"/>
        </w:rPr>
        <w:lastRenderedPageBreak/>
        <w:t>orthogonal geprüften Sorten</w:t>
      </w:r>
      <w:r w:rsidR="003328C6">
        <w:rPr>
          <w:rFonts w:cs="Arial"/>
          <w:sz w:val="20"/>
        </w:rPr>
        <w:t>)</w:t>
      </w:r>
      <w:r>
        <w:rPr>
          <w:rFonts w:cs="Arial"/>
          <w:sz w:val="20"/>
        </w:rPr>
        <w:t xml:space="preserve"> ist ein Tabellenkalkulations</w:t>
      </w:r>
      <w:r w:rsidR="00C941F6">
        <w:rPr>
          <w:rFonts w:cs="Arial"/>
          <w:sz w:val="20"/>
        </w:rPr>
        <w:softHyphen/>
      </w:r>
      <w:r>
        <w:rPr>
          <w:rFonts w:cs="Arial"/>
          <w:sz w:val="20"/>
        </w:rPr>
        <w:t>ansatz</w:t>
      </w:r>
      <w:r w:rsidR="00C941F6">
        <w:rPr>
          <w:rFonts w:cs="Arial"/>
          <w:sz w:val="20"/>
        </w:rPr>
        <w:t xml:space="preserve"> nicht realistisch bzw.</w:t>
      </w:r>
      <w:r w:rsidR="00567935">
        <w:rPr>
          <w:rFonts w:cs="Arial"/>
          <w:sz w:val="20"/>
        </w:rPr>
        <w:t xml:space="preserve"> suboptimal</w:t>
      </w:r>
      <w:r w:rsidR="002C256A">
        <w:rPr>
          <w:rFonts w:cs="Arial"/>
          <w:sz w:val="20"/>
        </w:rPr>
        <w:t xml:space="preserve"> wegen erheblichen Datenverlustes</w:t>
      </w:r>
      <w:r w:rsidR="00C941F6">
        <w:rPr>
          <w:rFonts w:cs="Arial"/>
          <w:sz w:val="20"/>
        </w:rPr>
        <w:t xml:space="preserve">. Der Situation angemessen ist </w:t>
      </w:r>
      <w:r w:rsidR="0008418D">
        <w:rPr>
          <w:rFonts w:cs="Arial"/>
          <w:sz w:val="20"/>
        </w:rPr>
        <w:t>das</w:t>
      </w:r>
      <w:r w:rsidR="00C941F6">
        <w:rPr>
          <w:rFonts w:cs="Arial"/>
          <w:sz w:val="20"/>
        </w:rPr>
        <w:t xml:space="preserve"> gemischte </w:t>
      </w:r>
      <w:r w:rsidR="00037733">
        <w:rPr>
          <w:rFonts w:cs="Arial"/>
          <w:sz w:val="20"/>
        </w:rPr>
        <w:t xml:space="preserve">lineare </w:t>
      </w:r>
      <w:r w:rsidR="00C941F6">
        <w:rPr>
          <w:rFonts w:cs="Arial"/>
          <w:sz w:val="20"/>
        </w:rPr>
        <w:t>Modell</w:t>
      </w:r>
      <w:r w:rsidR="0008418D">
        <w:rPr>
          <w:rFonts w:cs="Arial"/>
          <w:sz w:val="20"/>
        </w:rPr>
        <w:t xml:space="preserve"> der HGM</w:t>
      </w:r>
      <w:r w:rsidR="00567935">
        <w:rPr>
          <w:rFonts w:cs="Arial"/>
          <w:sz w:val="20"/>
        </w:rPr>
        <w:t>.</w:t>
      </w:r>
      <w:r w:rsidR="00C941F6">
        <w:rPr>
          <w:rFonts w:cs="Arial"/>
          <w:sz w:val="20"/>
        </w:rPr>
        <w:t xml:space="preserve"> </w:t>
      </w:r>
      <w:r w:rsidR="00567935">
        <w:rPr>
          <w:rFonts w:cs="Arial"/>
          <w:sz w:val="20"/>
        </w:rPr>
        <w:t>O</w:t>
      </w:r>
      <w:r w:rsidR="00C941F6">
        <w:rPr>
          <w:rFonts w:cs="Arial"/>
          <w:sz w:val="20"/>
        </w:rPr>
        <w:t>hne Transformation</w:t>
      </w:r>
      <w:r w:rsidR="00037733">
        <w:rPr>
          <w:rFonts w:cs="Arial"/>
          <w:sz w:val="20"/>
        </w:rPr>
        <w:t xml:space="preserve"> der Daten</w:t>
      </w:r>
      <w:r w:rsidR="00567935">
        <w:rPr>
          <w:rFonts w:cs="Arial"/>
          <w:sz w:val="20"/>
        </w:rPr>
        <w:t xml:space="preserve"> entspricht es</w:t>
      </w:r>
      <w:r w:rsidR="00C941F6">
        <w:rPr>
          <w:rFonts w:cs="Arial"/>
          <w:sz w:val="20"/>
        </w:rPr>
        <w:t xml:space="preserve"> dem add</w:t>
      </w:r>
      <w:r w:rsidR="00567935">
        <w:rPr>
          <w:rFonts w:cs="Arial"/>
          <w:sz w:val="20"/>
        </w:rPr>
        <w:t>itiven Ansatz von (a)</w:t>
      </w:r>
      <w:r w:rsidR="00C941F6">
        <w:rPr>
          <w:rFonts w:cs="Arial"/>
          <w:sz w:val="20"/>
        </w:rPr>
        <w:t>.</w:t>
      </w:r>
    </w:p>
    <w:p w:rsidR="00C941F6" w:rsidRDefault="00C941F6" w:rsidP="00951238">
      <w:pPr>
        <w:spacing w:after="120" w:line="240" w:lineRule="auto"/>
        <w:jc w:val="both"/>
        <w:rPr>
          <w:rFonts w:cs="Arial"/>
          <w:sz w:val="20"/>
        </w:rPr>
      </w:pPr>
      <w:r>
        <w:rPr>
          <w:rFonts w:cs="Arial"/>
          <w:sz w:val="20"/>
        </w:rPr>
        <w:t xml:space="preserve">Das Verfahren PHI untersucht nun, ob eine Vorab-Transformation der Urdaten die </w:t>
      </w:r>
      <w:r w:rsidRPr="00A613F7">
        <w:rPr>
          <w:rFonts w:cs="Arial"/>
          <w:sz w:val="20"/>
        </w:rPr>
        <w:t>Modell</w:t>
      </w:r>
      <w:r>
        <w:rPr>
          <w:rFonts w:cs="Arial"/>
          <w:sz w:val="20"/>
        </w:rPr>
        <w:softHyphen/>
      </w:r>
      <w:r w:rsidRPr="00A613F7">
        <w:rPr>
          <w:rFonts w:cs="Arial"/>
          <w:sz w:val="20"/>
        </w:rPr>
        <w:t>voraussetzungen</w:t>
      </w:r>
      <w:r>
        <w:rPr>
          <w:rFonts w:cs="Arial"/>
          <w:sz w:val="20"/>
        </w:rPr>
        <w:t xml:space="preserve"> (insbesondere den Komplex</w:t>
      </w:r>
      <w:r w:rsidRPr="00A613F7">
        <w:rPr>
          <w:rFonts w:cs="Arial"/>
          <w:sz w:val="20"/>
        </w:rPr>
        <w:t xml:space="preserve"> Additivität, Varianz</w:t>
      </w:r>
      <w:r>
        <w:rPr>
          <w:rFonts w:cs="Arial"/>
          <w:sz w:val="20"/>
        </w:rPr>
        <w:softHyphen/>
      </w:r>
      <w:r w:rsidRPr="00A613F7">
        <w:rPr>
          <w:rFonts w:cs="Arial"/>
          <w:sz w:val="20"/>
        </w:rPr>
        <w:t>homogenität</w:t>
      </w:r>
      <w:r>
        <w:rPr>
          <w:rFonts w:cs="Arial"/>
          <w:sz w:val="20"/>
        </w:rPr>
        <w:t xml:space="preserve"> und</w:t>
      </w:r>
      <w:r w:rsidRPr="00A613F7">
        <w:rPr>
          <w:rFonts w:cs="Arial"/>
          <w:sz w:val="20"/>
        </w:rPr>
        <w:t xml:space="preserve"> Normalverteilung</w:t>
      </w:r>
      <w:r w:rsidR="00236708">
        <w:rPr>
          <w:rFonts w:cs="Arial"/>
          <w:sz w:val="20"/>
        </w:rPr>
        <w:t xml:space="preserve"> der Zufallseffekte</w:t>
      </w:r>
      <w:r>
        <w:rPr>
          <w:rFonts w:cs="Arial"/>
          <w:sz w:val="20"/>
        </w:rPr>
        <w:t xml:space="preserve">) besser erfüllt als der Ansatz (a). Es wird ein Transformationsparameter </w:t>
      </w:r>
      <w:r w:rsidRPr="00A613F7">
        <w:rPr>
          <w:rFonts w:cs="Arial"/>
          <w:sz w:val="20"/>
        </w:rPr>
        <w:t xml:space="preserve">phi </w:t>
      </w:r>
      <w:r>
        <w:rPr>
          <w:rFonts w:cs="Arial"/>
          <w:sz w:val="20"/>
        </w:rPr>
        <w:t>(</w:t>
      </w:r>
      <w:r w:rsidRPr="00A613F7">
        <w:rPr>
          <w:rFonts w:cs="Arial"/>
          <w:sz w:val="20"/>
        </w:rPr>
        <w:t xml:space="preserve">bzw. </w:t>
      </w:r>
      <m:oMath>
        <m:r>
          <w:rPr>
            <w:rFonts w:ascii="Cambria Math" w:hAnsi="Cambria Math" w:cs="Arial"/>
            <w:sz w:val="20"/>
          </w:rPr>
          <m:t>φ</m:t>
        </m:r>
      </m:oMath>
      <w:r w:rsidRPr="00A613F7">
        <w:rPr>
          <w:rFonts w:cs="Arial"/>
          <w:sz w:val="20"/>
        </w:rPr>
        <w:t>)</w:t>
      </w:r>
      <w:r>
        <w:rPr>
          <w:rFonts w:cs="Arial"/>
          <w:sz w:val="20"/>
        </w:rPr>
        <w:t xml:space="preserve"> </w:t>
      </w:r>
      <w:r w:rsidR="00845355">
        <w:rPr>
          <w:rFonts w:cs="Arial"/>
          <w:sz w:val="20"/>
        </w:rPr>
        <w:t>gesucht</w:t>
      </w:r>
      <w:r>
        <w:rPr>
          <w:rFonts w:cs="Arial"/>
          <w:sz w:val="20"/>
        </w:rPr>
        <w:t xml:space="preserve">, welcher </w:t>
      </w:r>
      <w:r w:rsidRPr="00151819">
        <w:rPr>
          <w:rFonts w:cs="Arial"/>
          <w:sz w:val="20"/>
        </w:rPr>
        <w:t>gegebene Daten optimal an d</w:t>
      </w:r>
      <w:r w:rsidR="00845355">
        <w:rPr>
          <w:rFonts w:cs="Arial"/>
          <w:sz w:val="20"/>
        </w:rPr>
        <w:t>as</w:t>
      </w:r>
      <w:r w:rsidRPr="00151819">
        <w:rPr>
          <w:rFonts w:cs="Arial"/>
          <w:sz w:val="20"/>
        </w:rPr>
        <w:t xml:space="preserve"> </w:t>
      </w:r>
      <w:r w:rsidR="00845355">
        <w:rPr>
          <w:rFonts w:cs="Arial"/>
          <w:sz w:val="20"/>
        </w:rPr>
        <w:t xml:space="preserve">gemischte lineare </w:t>
      </w:r>
      <w:r w:rsidRPr="00151819">
        <w:rPr>
          <w:rFonts w:cs="Arial"/>
          <w:sz w:val="20"/>
        </w:rPr>
        <w:t>Modell</w:t>
      </w:r>
      <w:r w:rsidRPr="00A613F7">
        <w:rPr>
          <w:rFonts w:cs="Arial"/>
          <w:sz w:val="20"/>
        </w:rPr>
        <w:t xml:space="preserve"> </w:t>
      </w:r>
      <w:r>
        <w:rPr>
          <w:rFonts w:cs="Arial"/>
          <w:sz w:val="20"/>
        </w:rPr>
        <w:t xml:space="preserve">anpasst </w:t>
      </w:r>
      <w:r w:rsidR="001C1582">
        <w:rPr>
          <w:rFonts w:cs="Arial"/>
          <w:sz w:val="20"/>
        </w:rPr>
        <w:t>und</w:t>
      </w:r>
      <w:r>
        <w:rPr>
          <w:rFonts w:cs="Arial"/>
          <w:sz w:val="20"/>
        </w:rPr>
        <w:t xml:space="preserve"> die Modellvoraussetzungen bestmöglich erfüllt. Der geschätzte</w:t>
      </w:r>
      <w:r w:rsidR="00845355">
        <w:rPr>
          <w:rFonts w:cs="Arial"/>
          <w:sz w:val="20"/>
        </w:rPr>
        <w:t>, ausgegebene</w:t>
      </w:r>
      <w:r>
        <w:rPr>
          <w:rFonts w:cs="Arial"/>
          <w:sz w:val="20"/>
        </w:rPr>
        <w:t xml:space="preserve"> Parameter </w:t>
      </w:r>
      <w:r w:rsidR="00845355" w:rsidRPr="00A613F7">
        <w:rPr>
          <w:rFonts w:cs="Arial"/>
          <w:sz w:val="20"/>
        </w:rPr>
        <w:t>phi</w:t>
      </w:r>
      <w:r w:rsidR="00845355">
        <w:rPr>
          <w:rFonts w:cs="Arial"/>
          <w:sz w:val="20"/>
        </w:rPr>
        <w:t xml:space="preserve"> (</w:t>
      </w:r>
      <m:oMath>
        <m:r>
          <w:rPr>
            <w:rFonts w:ascii="Cambria Math" w:hAnsi="Cambria Math" w:cs="Arial"/>
            <w:sz w:val="20"/>
          </w:rPr>
          <m:t>φ</m:t>
        </m:r>
      </m:oMath>
      <w:r w:rsidR="00845355" w:rsidRPr="00A613F7">
        <w:rPr>
          <w:rFonts w:cs="Arial"/>
          <w:sz w:val="20"/>
        </w:rPr>
        <w:t>)</w:t>
      </w:r>
      <w:r w:rsidR="00845355">
        <w:rPr>
          <w:rFonts w:cs="Arial"/>
          <w:sz w:val="20"/>
        </w:rPr>
        <w:t xml:space="preserve"> </w:t>
      </w:r>
      <w:r>
        <w:rPr>
          <w:rFonts w:cs="Arial"/>
          <w:sz w:val="20"/>
        </w:rPr>
        <w:t>kann dann in den Verfahren</w:t>
      </w:r>
      <w:r w:rsidRPr="00A613F7">
        <w:rPr>
          <w:rFonts w:cs="Arial"/>
          <w:sz w:val="20"/>
        </w:rPr>
        <w:t xml:space="preserve"> </w:t>
      </w:r>
      <w:r>
        <w:rPr>
          <w:rFonts w:cs="Arial"/>
          <w:sz w:val="20"/>
        </w:rPr>
        <w:t xml:space="preserve">‚VK’ und ‚MW’ eingesetzt werden. Dies trägt zur </w:t>
      </w:r>
      <w:r w:rsidRPr="00A613F7">
        <w:rPr>
          <w:rFonts w:cs="Arial"/>
          <w:sz w:val="20"/>
        </w:rPr>
        <w:t xml:space="preserve">optimierten unverzerrten </w:t>
      </w:r>
      <w:r>
        <w:rPr>
          <w:rFonts w:cs="Arial"/>
          <w:sz w:val="20"/>
        </w:rPr>
        <w:t>Mittelwertschätzung</w:t>
      </w:r>
      <w:r w:rsidR="00CA339C">
        <w:rPr>
          <w:rFonts w:cs="Arial"/>
          <w:sz w:val="20"/>
        </w:rPr>
        <w:t xml:space="preserve"> im Sinne oben formulierter Problemstellung</w:t>
      </w:r>
      <w:r>
        <w:rPr>
          <w:rFonts w:cs="Arial"/>
          <w:sz w:val="20"/>
        </w:rPr>
        <w:t xml:space="preserve"> bei.</w:t>
      </w:r>
    </w:p>
    <w:p w:rsidR="00B24002" w:rsidRDefault="00845355" w:rsidP="00951238">
      <w:pPr>
        <w:spacing w:after="120" w:line="240" w:lineRule="auto"/>
        <w:jc w:val="both"/>
        <w:rPr>
          <w:rFonts w:eastAsiaTheme="minorEastAsia" w:cs="Arial"/>
          <w:sz w:val="20"/>
        </w:rPr>
      </w:pPr>
      <w:r>
        <w:rPr>
          <w:rFonts w:cs="Arial"/>
          <w:sz w:val="20"/>
        </w:rPr>
        <w:t>Da</w:t>
      </w:r>
      <w:r w:rsidR="00037733">
        <w:rPr>
          <w:rFonts w:cs="Arial"/>
          <w:sz w:val="20"/>
        </w:rPr>
        <w:t>s</w:t>
      </w:r>
      <w:r w:rsidR="00ED3C27">
        <w:rPr>
          <w:rFonts w:cs="Arial"/>
          <w:sz w:val="20"/>
        </w:rPr>
        <w:t xml:space="preserve"> Verfahren </w:t>
      </w:r>
      <w:r>
        <w:rPr>
          <w:rFonts w:cs="Arial"/>
          <w:sz w:val="20"/>
        </w:rPr>
        <w:t xml:space="preserve">‚PHI‘ </w:t>
      </w:r>
      <w:r w:rsidR="00ED3C27">
        <w:rPr>
          <w:rFonts w:cs="Arial"/>
          <w:sz w:val="20"/>
        </w:rPr>
        <w:t xml:space="preserve">kann optional eingesetzt werden. Alternativ kann in VK und MW auf eine Transformation verzichtet werden, was </w:t>
      </w:r>
      <w:r w:rsidR="00C941F6">
        <w:rPr>
          <w:rFonts w:cs="Arial"/>
          <w:sz w:val="20"/>
        </w:rPr>
        <w:t xml:space="preserve">dem Vorgehen (a) mit </w:t>
      </w:r>
      <w:r w:rsidR="00ED3C27">
        <w:rPr>
          <w:rFonts w:cs="Arial"/>
          <w:sz w:val="20"/>
        </w:rPr>
        <w:t xml:space="preserve">einem </w:t>
      </w:r>
      <m:oMath>
        <m:r>
          <w:rPr>
            <w:rFonts w:ascii="Cambria Math" w:hAnsi="Cambria Math" w:cs="Arial"/>
            <w:sz w:val="20"/>
          </w:rPr>
          <m:t>φ=1</m:t>
        </m:r>
      </m:oMath>
      <w:r w:rsidR="00037733">
        <w:rPr>
          <w:rFonts w:cs="Arial"/>
          <w:sz w:val="20"/>
        </w:rPr>
        <w:t xml:space="preserve"> </w:t>
      </w:r>
      <w:r w:rsidR="00ED3C27">
        <w:rPr>
          <w:rFonts w:cs="Arial"/>
          <w:sz w:val="20"/>
        </w:rPr>
        <w:t>bzw. additivem Datenverhalten entspricht</w:t>
      </w:r>
      <w:r w:rsidR="00C941F6">
        <w:rPr>
          <w:rFonts w:cs="Arial"/>
          <w:sz w:val="20"/>
        </w:rPr>
        <w:t xml:space="preserve">. Dem Vorgehen (b) entspräche ein </w:t>
      </w:r>
      <m:oMath>
        <m:r>
          <w:rPr>
            <w:rFonts w:ascii="Cambria Math" w:hAnsi="Cambria Math" w:cs="Arial"/>
            <w:sz w:val="20"/>
          </w:rPr>
          <m:t>φ=0</m:t>
        </m:r>
      </m:oMath>
      <w:r w:rsidR="00037733">
        <w:rPr>
          <w:rFonts w:cs="Arial"/>
          <w:sz w:val="20"/>
        </w:rPr>
        <w:t xml:space="preserve"> </w:t>
      </w:r>
      <w:r w:rsidR="00C941F6">
        <w:rPr>
          <w:rFonts w:cs="Arial"/>
          <w:sz w:val="20"/>
        </w:rPr>
        <w:t>(</w:t>
      </w:r>
      <m:oMath>
        <m:r>
          <w:rPr>
            <w:rFonts w:ascii="Cambria Math" w:hAnsi="Cambria Math" w:cs="Arial"/>
            <w:sz w:val="20"/>
          </w:rPr>
          <m:t>≡</m:t>
        </m:r>
      </m:oMath>
      <w:r w:rsidR="00CA339C">
        <w:rPr>
          <w:rFonts w:cs="Arial"/>
          <w:sz w:val="20"/>
        </w:rPr>
        <w:t>Log-Transformation</w:t>
      </w:r>
      <w:r w:rsidR="00E35285">
        <w:rPr>
          <w:rFonts w:cs="Arial"/>
          <w:sz w:val="20"/>
        </w:rPr>
        <w:t>)</w:t>
      </w:r>
      <w:r w:rsidR="00724192">
        <w:rPr>
          <w:rFonts w:cs="Arial"/>
          <w:sz w:val="20"/>
        </w:rPr>
        <w:t>. Dies</w:t>
      </w:r>
      <w:r w:rsidR="00037733">
        <w:rPr>
          <w:rFonts w:cs="Arial"/>
          <w:sz w:val="20"/>
        </w:rPr>
        <w:t xml:space="preserve"> </w:t>
      </w:r>
      <w:r w:rsidR="00ED3C27">
        <w:rPr>
          <w:rFonts w:cs="Arial"/>
          <w:sz w:val="20"/>
        </w:rPr>
        <w:t xml:space="preserve">ergibt sich bei </w:t>
      </w:r>
      <w:r w:rsidR="00724192">
        <w:rPr>
          <w:rFonts w:cs="Arial"/>
          <w:sz w:val="20"/>
        </w:rPr>
        <w:t xml:space="preserve">rein </w:t>
      </w:r>
      <w:r w:rsidR="00ED3C27">
        <w:rPr>
          <w:rFonts w:cs="Arial"/>
          <w:sz w:val="20"/>
        </w:rPr>
        <w:t xml:space="preserve">multiplikativem </w:t>
      </w:r>
      <w:r w:rsidR="001572D2">
        <w:rPr>
          <w:rFonts w:cs="Arial"/>
          <w:sz w:val="20"/>
        </w:rPr>
        <w:t>D</w:t>
      </w:r>
      <w:r w:rsidR="00ED3C27">
        <w:rPr>
          <w:rFonts w:cs="Arial"/>
          <w:sz w:val="20"/>
        </w:rPr>
        <w:t>atenverhalten</w:t>
      </w:r>
      <w:r w:rsidR="00724192">
        <w:rPr>
          <w:rFonts w:cs="Arial"/>
          <w:sz w:val="20"/>
        </w:rPr>
        <w:t xml:space="preserve">, wenn Varianzen proportional </w:t>
      </w:r>
      <w:r w:rsidR="001C1582">
        <w:rPr>
          <w:rFonts w:cs="Arial"/>
          <w:sz w:val="20"/>
        </w:rPr>
        <w:t xml:space="preserve">z.B. </w:t>
      </w:r>
      <w:r w:rsidR="00724192">
        <w:rPr>
          <w:rFonts w:cs="Arial"/>
          <w:sz w:val="20"/>
        </w:rPr>
        <w:t>zum Ertragsniveau steigen</w:t>
      </w:r>
      <w:r w:rsidR="00037733">
        <w:rPr>
          <w:rFonts w:cs="Arial"/>
          <w:sz w:val="20"/>
        </w:rPr>
        <w:t>. Häufig ist eine intermediäre Transformation optimal (</w:t>
      </w:r>
      <m:oMath>
        <m:r>
          <w:rPr>
            <w:rFonts w:ascii="Cambria Math" w:hAnsi="Cambria Math" w:cs="Arial"/>
            <w:sz w:val="20"/>
          </w:rPr>
          <m:t>0≤φ≤1</m:t>
        </m:r>
      </m:oMath>
      <w:r w:rsidR="00037733">
        <w:rPr>
          <w:rFonts w:cs="Arial"/>
          <w:sz w:val="20"/>
        </w:rPr>
        <w:t>)</w:t>
      </w:r>
      <w:r w:rsidR="001C1582">
        <w:rPr>
          <w:rFonts w:cs="Arial"/>
          <w:sz w:val="20"/>
        </w:rPr>
        <w:t>.</w:t>
      </w:r>
      <w:r w:rsidR="00037733">
        <w:rPr>
          <w:rFonts w:cs="Arial"/>
          <w:sz w:val="20"/>
        </w:rPr>
        <w:t xml:space="preserve"> </w:t>
      </w:r>
      <w:r w:rsidR="001C1582">
        <w:rPr>
          <w:rFonts w:cs="Arial"/>
          <w:sz w:val="20"/>
        </w:rPr>
        <w:t>E</w:t>
      </w:r>
      <w:r w:rsidR="00037733">
        <w:rPr>
          <w:rFonts w:cs="Arial"/>
          <w:sz w:val="20"/>
        </w:rPr>
        <w:t>in</w:t>
      </w:r>
      <w:r w:rsidR="009303EB">
        <w:rPr>
          <w:rFonts w:cs="Arial"/>
          <w:sz w:val="20"/>
        </w:rPr>
        <w:t xml:space="preserve"> intermediäres </w:t>
      </w:r>
      <m:oMath>
        <m:r>
          <w:rPr>
            <w:rFonts w:ascii="Cambria Math" w:hAnsi="Cambria Math" w:cs="Arial"/>
            <w:sz w:val="20"/>
          </w:rPr>
          <m:t>φ=0,5</m:t>
        </m:r>
      </m:oMath>
      <w:r w:rsidR="00ED3C27">
        <w:rPr>
          <w:rFonts w:cs="Arial"/>
          <w:sz w:val="20"/>
        </w:rPr>
        <w:t xml:space="preserve"> </w:t>
      </w:r>
      <w:r w:rsidR="001572D2">
        <w:rPr>
          <w:rFonts w:cs="Arial"/>
          <w:sz w:val="20"/>
        </w:rPr>
        <w:t>entspricht</w:t>
      </w:r>
      <w:r w:rsidR="00E35285">
        <w:rPr>
          <w:rFonts w:cs="Arial"/>
          <w:sz w:val="20"/>
        </w:rPr>
        <w:t xml:space="preserve"> z.B.</w:t>
      </w:r>
      <w:r w:rsidR="001572D2">
        <w:rPr>
          <w:rFonts w:cs="Arial"/>
          <w:sz w:val="20"/>
        </w:rPr>
        <w:t xml:space="preserve"> </w:t>
      </w:r>
      <w:r w:rsidR="00037733">
        <w:rPr>
          <w:rFonts w:cs="Arial"/>
          <w:sz w:val="20"/>
        </w:rPr>
        <w:t>der</w:t>
      </w:r>
      <w:r w:rsidR="001572D2">
        <w:rPr>
          <w:rFonts w:cs="Arial"/>
          <w:sz w:val="20"/>
        </w:rPr>
        <w:t xml:space="preserve"> Wu</w:t>
      </w:r>
      <w:r w:rsidR="00ED3C27">
        <w:rPr>
          <w:rFonts w:cs="Arial"/>
          <w:sz w:val="20"/>
        </w:rPr>
        <w:t>rzel</w:t>
      </w:r>
      <w:r w:rsidR="00037733">
        <w:rPr>
          <w:rFonts w:cs="Arial"/>
          <w:sz w:val="20"/>
        </w:rPr>
        <w:softHyphen/>
      </w:r>
      <w:r w:rsidR="00ED3C27">
        <w:rPr>
          <w:rFonts w:cs="Arial"/>
          <w:sz w:val="20"/>
        </w:rPr>
        <w:t>transformation.</w:t>
      </w:r>
      <w:r w:rsidR="00724192">
        <w:rPr>
          <w:rFonts w:cs="Arial"/>
          <w:sz w:val="20"/>
        </w:rPr>
        <w:t xml:space="preserve"> Bei einzelnen Merkmalen, welche z.B. an eine obere nicht überschreitbare Grenze stoßen</w:t>
      </w:r>
      <w:r w:rsidR="001C1582">
        <w:rPr>
          <w:rFonts w:cs="Arial"/>
          <w:sz w:val="20"/>
        </w:rPr>
        <w:t>,</w:t>
      </w:r>
      <w:r w:rsidR="00724192">
        <w:rPr>
          <w:rFonts w:cs="Arial"/>
          <w:sz w:val="20"/>
        </w:rPr>
        <w:t xml:space="preserve"> </w:t>
      </w:r>
      <w:r w:rsidR="00FB5D33">
        <w:rPr>
          <w:rFonts w:cs="Arial"/>
          <w:sz w:val="20"/>
        </w:rPr>
        <w:t>sind</w:t>
      </w:r>
      <w:r w:rsidR="00724192">
        <w:rPr>
          <w:rFonts w:cs="Arial"/>
          <w:sz w:val="20"/>
        </w:rPr>
        <w:t xml:space="preserve"> auch Trans</w:t>
      </w:r>
      <w:r w:rsidR="001C1582">
        <w:rPr>
          <w:rFonts w:cs="Arial"/>
          <w:sz w:val="20"/>
        </w:rPr>
        <w:softHyphen/>
      </w:r>
      <w:r w:rsidR="00724192">
        <w:rPr>
          <w:rFonts w:cs="Arial"/>
          <w:sz w:val="20"/>
        </w:rPr>
        <w:t xml:space="preserve">formationen </w:t>
      </w:r>
      <w:r w:rsidR="00FB5D33">
        <w:rPr>
          <w:rFonts w:cs="Arial"/>
          <w:sz w:val="20"/>
        </w:rPr>
        <w:t xml:space="preserve">mit </w:t>
      </w:r>
      <m:oMath>
        <m:r>
          <w:rPr>
            <w:rFonts w:ascii="Cambria Math" w:hAnsi="Cambria Math" w:cs="Arial"/>
            <w:sz w:val="20"/>
          </w:rPr>
          <m:t>φ&gt;1</m:t>
        </m:r>
      </m:oMath>
      <w:r w:rsidR="00FB5D33">
        <w:rPr>
          <w:rFonts w:eastAsiaTheme="minorEastAsia" w:cs="Arial"/>
          <w:sz w:val="20"/>
        </w:rPr>
        <w:t xml:space="preserve"> plausibel. Dies betrifft oft Relativzahlen wie z.B. die sog. </w:t>
      </w:r>
      <w:r w:rsidR="004D18DD">
        <w:rPr>
          <w:rFonts w:eastAsiaTheme="minorEastAsia" w:cs="Arial"/>
          <w:sz w:val="20"/>
        </w:rPr>
        <w:t>Siebsortierung (%) bei Gers</w:t>
      </w:r>
      <w:r w:rsidR="009303EB">
        <w:rPr>
          <w:rFonts w:eastAsiaTheme="minorEastAsia" w:cs="Arial"/>
          <w:sz w:val="20"/>
        </w:rPr>
        <w:t>te (denn</w:t>
      </w:r>
      <w:r w:rsidR="004D18DD">
        <w:rPr>
          <w:rFonts w:eastAsiaTheme="minorEastAsia" w:cs="Arial"/>
          <w:sz w:val="20"/>
        </w:rPr>
        <w:t xml:space="preserve"> j</w:t>
      </w:r>
      <w:r w:rsidR="00FB5D33">
        <w:rPr>
          <w:rFonts w:eastAsiaTheme="minorEastAsia" w:cs="Arial"/>
          <w:sz w:val="20"/>
        </w:rPr>
        <w:t xml:space="preserve">e höher die Werte sind und </w:t>
      </w:r>
      <w:r w:rsidR="009303EB">
        <w:rPr>
          <w:rFonts w:eastAsiaTheme="minorEastAsia" w:cs="Arial"/>
          <w:sz w:val="20"/>
        </w:rPr>
        <w:t>an die</w:t>
      </w:r>
      <w:r w:rsidR="001C1582">
        <w:rPr>
          <w:rFonts w:eastAsiaTheme="minorEastAsia" w:cs="Arial"/>
          <w:sz w:val="20"/>
        </w:rPr>
        <w:t xml:space="preserve"> </w:t>
      </w:r>
      <w:r w:rsidR="00FB5D33">
        <w:rPr>
          <w:rFonts w:eastAsiaTheme="minorEastAsia" w:cs="Arial"/>
          <w:sz w:val="20"/>
        </w:rPr>
        <w:t xml:space="preserve">100%-Grenze </w:t>
      </w:r>
      <w:r w:rsidR="009303EB">
        <w:rPr>
          <w:rFonts w:eastAsiaTheme="minorEastAsia" w:cs="Arial"/>
          <w:sz w:val="20"/>
        </w:rPr>
        <w:t>‚stoßen‘</w:t>
      </w:r>
      <w:r w:rsidR="00FB5D33">
        <w:rPr>
          <w:rFonts w:eastAsiaTheme="minorEastAsia" w:cs="Arial"/>
          <w:sz w:val="20"/>
        </w:rPr>
        <w:t>, desto kleiner werden die Varianzen</w:t>
      </w:r>
      <w:r w:rsidR="009303EB">
        <w:rPr>
          <w:rFonts w:eastAsiaTheme="minorEastAsia" w:cs="Arial"/>
          <w:sz w:val="20"/>
        </w:rPr>
        <w:t>)</w:t>
      </w:r>
      <w:r w:rsidR="00FB5D33">
        <w:rPr>
          <w:rFonts w:eastAsiaTheme="minorEastAsia" w:cs="Arial"/>
          <w:sz w:val="20"/>
        </w:rPr>
        <w:t>.</w:t>
      </w:r>
    </w:p>
    <w:p w:rsidR="00ED3C27" w:rsidRPr="00A613F7" w:rsidRDefault="00B24002" w:rsidP="00951238">
      <w:pPr>
        <w:spacing w:after="120" w:line="240" w:lineRule="auto"/>
        <w:jc w:val="both"/>
        <w:rPr>
          <w:sz w:val="20"/>
        </w:rPr>
      </w:pPr>
      <w:r>
        <w:rPr>
          <w:rFonts w:eastAsiaTheme="minorEastAsia" w:cs="Arial"/>
          <w:sz w:val="20"/>
        </w:rPr>
        <w:t xml:space="preserve">Ein </w:t>
      </w:r>
      <m:oMath>
        <m:r>
          <w:rPr>
            <w:rFonts w:ascii="Cambria Math" w:hAnsi="Cambria Math" w:cs="Arial"/>
            <w:sz w:val="20"/>
          </w:rPr>
          <m:t>φ&lt;0</m:t>
        </m:r>
      </m:oMath>
      <w:r>
        <w:rPr>
          <w:rFonts w:eastAsiaTheme="minorEastAsia" w:cs="Arial"/>
          <w:sz w:val="20"/>
        </w:rPr>
        <w:t xml:space="preserve"> ist theoretisch denkbar, wird aber kaum auftreten und sollte hinterfragt werden. Dabei unterstützt die grafische Ausgabe eines Konfidenzintervalls für </w:t>
      </w:r>
      <m:oMath>
        <m:r>
          <w:rPr>
            <w:rFonts w:ascii="Cambria Math" w:hAnsi="Cambria Math" w:cs="Arial"/>
            <w:sz w:val="20"/>
          </w:rPr>
          <m:t>φ</m:t>
        </m:r>
      </m:oMath>
      <w:r>
        <w:rPr>
          <w:rFonts w:eastAsiaTheme="minorEastAsia" w:cs="Arial"/>
          <w:sz w:val="20"/>
        </w:rPr>
        <w:t xml:space="preserve">. Sollte </w:t>
      </w:r>
      <m:oMath>
        <m:r>
          <w:rPr>
            <w:rFonts w:ascii="Cambria Math" w:hAnsi="Cambria Math" w:cs="Arial"/>
            <w:sz w:val="20"/>
          </w:rPr>
          <m:t>φ=0</m:t>
        </m:r>
      </m:oMath>
      <w:r>
        <w:rPr>
          <w:rFonts w:eastAsiaTheme="minorEastAsia" w:cs="Arial"/>
          <w:sz w:val="20"/>
        </w:rPr>
        <w:t xml:space="preserve"> im Intervall enthalten sein, empfiehlt es sich, im Weiteren mit </w:t>
      </w:r>
      <m:oMath>
        <m:r>
          <w:rPr>
            <w:rFonts w:ascii="Cambria Math" w:hAnsi="Cambria Math" w:cs="Arial"/>
            <w:sz w:val="20"/>
          </w:rPr>
          <m:t>φ=0</m:t>
        </m:r>
      </m:oMath>
      <w:r>
        <w:rPr>
          <w:rFonts w:eastAsiaTheme="minorEastAsia" w:cs="Arial"/>
          <w:sz w:val="20"/>
        </w:rPr>
        <w:t xml:space="preserve">  zu arbeiten.</w:t>
      </w:r>
    </w:p>
    <w:p w:rsidR="008F65EA" w:rsidRDefault="008F65EA" w:rsidP="00951238">
      <w:pPr>
        <w:spacing w:after="120" w:line="240" w:lineRule="auto"/>
        <w:jc w:val="both"/>
        <w:rPr>
          <w:sz w:val="20"/>
          <w:szCs w:val="20"/>
        </w:rPr>
      </w:pPr>
    </w:p>
    <w:p w:rsidR="00951238" w:rsidRPr="00D53D5D" w:rsidRDefault="00951238" w:rsidP="00951238">
      <w:pPr>
        <w:spacing w:after="120" w:line="240" w:lineRule="auto"/>
        <w:jc w:val="both"/>
        <w:rPr>
          <w:sz w:val="20"/>
          <w:szCs w:val="20"/>
        </w:rPr>
      </w:pPr>
    </w:p>
    <w:p w:rsidR="00874A5F" w:rsidRPr="005105DD" w:rsidRDefault="00E949CC" w:rsidP="00951238">
      <w:pPr>
        <w:pStyle w:val="Listenabsatz"/>
        <w:numPr>
          <w:ilvl w:val="0"/>
          <w:numId w:val="6"/>
        </w:numPr>
        <w:spacing w:after="120" w:line="240" w:lineRule="auto"/>
        <w:jc w:val="both"/>
        <w:rPr>
          <w:b/>
        </w:rPr>
      </w:pPr>
      <w:r>
        <w:rPr>
          <w:b/>
        </w:rPr>
        <w:t>VK</w:t>
      </w:r>
    </w:p>
    <w:p w:rsidR="00C941F6" w:rsidRDefault="00B24002" w:rsidP="00951238">
      <w:pPr>
        <w:spacing w:after="120" w:line="240" w:lineRule="auto"/>
        <w:jc w:val="both"/>
        <w:rPr>
          <w:sz w:val="20"/>
          <w:szCs w:val="20"/>
        </w:rPr>
      </w:pPr>
      <w:r w:rsidRPr="00B24002">
        <w:rPr>
          <w:sz w:val="20"/>
          <w:szCs w:val="20"/>
        </w:rPr>
        <w:t xml:space="preserve">Das Leistungspotential einer Sorte kann nicht fehlerfrei ermittelt werden, sondern wird </w:t>
      </w:r>
      <w:r>
        <w:rPr>
          <w:sz w:val="20"/>
          <w:szCs w:val="20"/>
        </w:rPr>
        <w:t xml:space="preserve">außer von den Fehlern </w:t>
      </w:r>
      <w:r w:rsidR="004926FB">
        <w:rPr>
          <w:sz w:val="20"/>
          <w:szCs w:val="20"/>
        </w:rPr>
        <w:t>i</w:t>
      </w:r>
      <w:r>
        <w:rPr>
          <w:sz w:val="20"/>
          <w:szCs w:val="20"/>
        </w:rPr>
        <w:t xml:space="preserve">n den Einzelversuchen </w:t>
      </w:r>
      <w:r w:rsidR="004926FB">
        <w:rPr>
          <w:sz w:val="20"/>
          <w:szCs w:val="20"/>
        </w:rPr>
        <w:t xml:space="preserve">besonders durch </w:t>
      </w:r>
      <w:r w:rsidRPr="00B24002">
        <w:rPr>
          <w:sz w:val="20"/>
          <w:szCs w:val="20"/>
        </w:rPr>
        <w:t xml:space="preserve">Wechselwirkungen mit der Umwelt </w:t>
      </w:r>
      <w:r>
        <w:rPr>
          <w:sz w:val="20"/>
          <w:szCs w:val="20"/>
        </w:rPr>
        <w:t>(Jahre, Orte</w:t>
      </w:r>
      <w:r w:rsidR="004926FB">
        <w:rPr>
          <w:sz w:val="20"/>
          <w:szCs w:val="20"/>
        </w:rPr>
        <w:t>, Regionen</w:t>
      </w:r>
      <w:r>
        <w:rPr>
          <w:sz w:val="20"/>
          <w:szCs w:val="20"/>
        </w:rPr>
        <w:t xml:space="preserve"> ...) </w:t>
      </w:r>
      <w:r w:rsidRPr="00B24002">
        <w:rPr>
          <w:sz w:val="20"/>
          <w:szCs w:val="20"/>
        </w:rPr>
        <w:t>beeinflusst.</w:t>
      </w:r>
      <w:r>
        <w:rPr>
          <w:sz w:val="20"/>
          <w:szCs w:val="20"/>
        </w:rPr>
        <w:t xml:space="preserve"> </w:t>
      </w:r>
      <w:r w:rsidR="00B163F2">
        <w:rPr>
          <w:sz w:val="20"/>
          <w:szCs w:val="20"/>
        </w:rPr>
        <w:t>Ausgehend von dem Ziel</w:t>
      </w:r>
      <w:r w:rsidR="008222A1">
        <w:rPr>
          <w:sz w:val="20"/>
          <w:szCs w:val="20"/>
        </w:rPr>
        <w:t>:</w:t>
      </w:r>
      <w:r w:rsidR="00B163F2">
        <w:rPr>
          <w:sz w:val="20"/>
          <w:szCs w:val="20"/>
        </w:rPr>
        <w:t xml:space="preserve"> </w:t>
      </w:r>
      <w:r w:rsidR="00675C27">
        <w:rPr>
          <w:sz w:val="20"/>
          <w:szCs w:val="20"/>
        </w:rPr>
        <w:t>„</w:t>
      </w:r>
      <w:r w:rsidR="00B163F2">
        <w:rPr>
          <w:rFonts w:cs="Arial"/>
          <w:sz w:val="20"/>
        </w:rPr>
        <w:t xml:space="preserve">Vorhersage der wahrscheinlichsten Sorteneffekte in einem neuen Jahr an einem beliebigen Standort im </w:t>
      </w:r>
      <w:r w:rsidR="004926FB">
        <w:rPr>
          <w:rFonts w:cs="Arial"/>
          <w:sz w:val="20"/>
        </w:rPr>
        <w:t>Ziel-</w:t>
      </w:r>
      <w:r w:rsidR="00B163F2">
        <w:rPr>
          <w:rFonts w:cs="Arial"/>
          <w:sz w:val="20"/>
        </w:rPr>
        <w:t>Anbaugebiet</w:t>
      </w:r>
      <w:r w:rsidR="00675C27">
        <w:rPr>
          <w:rFonts w:cs="Arial"/>
          <w:sz w:val="20"/>
        </w:rPr>
        <w:t>“</w:t>
      </w:r>
      <w:r w:rsidR="00B163F2">
        <w:rPr>
          <w:rFonts w:cs="Arial"/>
          <w:sz w:val="20"/>
        </w:rPr>
        <w:t xml:space="preserve"> stellt sich die Frage, wie die Einzelversuchs</w:t>
      </w:r>
      <w:r w:rsidR="000C6DBC">
        <w:rPr>
          <w:rFonts w:cs="Arial"/>
          <w:sz w:val="20"/>
        </w:rPr>
        <w:softHyphen/>
      </w:r>
      <w:r w:rsidR="00B163F2">
        <w:rPr>
          <w:rFonts w:cs="Arial"/>
          <w:sz w:val="20"/>
        </w:rPr>
        <w:t>ergebnisse über alle Orte und Jahre je Sorte verdichtet werden sollten, wenn die einzelnen Sorten z.B. in den Jahren sehr unter</w:t>
      </w:r>
      <w:r w:rsidR="00835571">
        <w:rPr>
          <w:rFonts w:cs="Arial"/>
          <w:sz w:val="20"/>
        </w:rPr>
        <w:softHyphen/>
      </w:r>
      <w:r w:rsidR="00B163F2">
        <w:rPr>
          <w:rFonts w:cs="Arial"/>
          <w:sz w:val="20"/>
        </w:rPr>
        <w:t xml:space="preserve">schiedlich oft geprüft wurden (z.B. WP- </w:t>
      </w:r>
      <w:r w:rsidR="00E7367C">
        <w:rPr>
          <w:rFonts w:cs="Arial"/>
          <w:sz w:val="20"/>
        </w:rPr>
        <w:t>versus</w:t>
      </w:r>
      <w:r w:rsidR="00B163F2">
        <w:rPr>
          <w:rFonts w:cs="Arial"/>
          <w:sz w:val="20"/>
        </w:rPr>
        <w:t xml:space="preserve"> LSV-Jahre). </w:t>
      </w:r>
      <w:r w:rsidR="000C6DBC" w:rsidRPr="00CE7EC9">
        <w:rPr>
          <w:sz w:val="20"/>
          <w:szCs w:val="20"/>
        </w:rPr>
        <w:t xml:space="preserve">Bei der </w:t>
      </w:r>
      <w:r w:rsidR="000C6DBC">
        <w:rPr>
          <w:sz w:val="20"/>
          <w:szCs w:val="20"/>
        </w:rPr>
        <w:t>mit der HGM</w:t>
      </w:r>
      <w:r w:rsidR="000C6DBC" w:rsidRPr="00CE7EC9">
        <w:rPr>
          <w:sz w:val="20"/>
          <w:szCs w:val="20"/>
        </w:rPr>
        <w:t xml:space="preserve"> vorgeschlagenen vollen Ausnutzung der verfügbaren Datenbestände (LSV+WP</w:t>
      </w:r>
      <w:r w:rsidR="008222A1">
        <w:rPr>
          <w:sz w:val="20"/>
          <w:szCs w:val="20"/>
        </w:rPr>
        <w:t>+EUSV</w:t>
      </w:r>
      <w:r w:rsidR="000C6DBC" w:rsidRPr="00CE7EC9">
        <w:rPr>
          <w:sz w:val="20"/>
          <w:szCs w:val="20"/>
        </w:rPr>
        <w:t xml:space="preserve">; </w:t>
      </w:r>
      <w:r w:rsidR="008222A1">
        <w:rPr>
          <w:sz w:val="20"/>
          <w:szCs w:val="20"/>
        </w:rPr>
        <w:t>&gt;</w:t>
      </w:r>
      <w:r w:rsidR="000C6DBC">
        <w:rPr>
          <w:sz w:val="20"/>
          <w:szCs w:val="20"/>
        </w:rPr>
        <w:t>&gt;</w:t>
      </w:r>
      <w:r w:rsidR="000C6DBC" w:rsidRPr="00CE7EC9">
        <w:rPr>
          <w:sz w:val="20"/>
          <w:szCs w:val="20"/>
        </w:rPr>
        <w:t>3-jährig</w:t>
      </w:r>
      <w:r w:rsidR="00675C27">
        <w:rPr>
          <w:sz w:val="20"/>
          <w:szCs w:val="20"/>
        </w:rPr>
        <w:t>;</w:t>
      </w:r>
      <w:r w:rsidR="000C6DBC" w:rsidRPr="00CE7EC9">
        <w:rPr>
          <w:sz w:val="20"/>
          <w:szCs w:val="20"/>
        </w:rPr>
        <w:t xml:space="preserve"> </w:t>
      </w:r>
      <w:r w:rsidR="00675C27">
        <w:rPr>
          <w:sz w:val="20"/>
          <w:szCs w:val="20"/>
        </w:rPr>
        <w:t xml:space="preserve">Einbeziehung von </w:t>
      </w:r>
      <w:r w:rsidR="000C6DBC" w:rsidRPr="00CE7EC9">
        <w:rPr>
          <w:sz w:val="20"/>
          <w:szCs w:val="20"/>
        </w:rPr>
        <w:t>Nachbarregionen .</w:t>
      </w:r>
      <w:r w:rsidR="000C6DBC">
        <w:rPr>
          <w:sz w:val="20"/>
          <w:szCs w:val="20"/>
        </w:rPr>
        <w:t>.</w:t>
      </w:r>
      <w:r w:rsidR="000C6DBC" w:rsidRPr="00CE7EC9">
        <w:rPr>
          <w:sz w:val="20"/>
          <w:szCs w:val="20"/>
        </w:rPr>
        <w:t xml:space="preserve">.) ist die Besetzung der Sorten in den einzelnen Umwelten </w:t>
      </w:r>
      <w:r w:rsidR="000C6DBC">
        <w:rPr>
          <w:sz w:val="20"/>
          <w:szCs w:val="20"/>
        </w:rPr>
        <w:t>regelmäßig</w:t>
      </w:r>
      <w:r w:rsidR="000C6DBC" w:rsidRPr="00CE7EC9">
        <w:rPr>
          <w:sz w:val="20"/>
          <w:szCs w:val="20"/>
        </w:rPr>
        <w:t xml:space="preserve"> extrem differenziert</w:t>
      </w:r>
      <w:r w:rsidR="000C6DBC">
        <w:rPr>
          <w:sz w:val="20"/>
          <w:szCs w:val="20"/>
        </w:rPr>
        <w:t xml:space="preserve"> und sehr sorten</w:t>
      </w:r>
      <w:r w:rsidR="000C6DBC">
        <w:rPr>
          <w:sz w:val="20"/>
          <w:szCs w:val="20"/>
        </w:rPr>
        <w:softHyphen/>
        <w:t>spezifisch</w:t>
      </w:r>
      <w:r w:rsidR="00675C27">
        <w:rPr>
          <w:sz w:val="20"/>
          <w:szCs w:val="20"/>
        </w:rPr>
        <w:t>, also unbalanciert</w:t>
      </w:r>
      <w:r w:rsidR="000C6DBC" w:rsidRPr="00CE7EC9">
        <w:rPr>
          <w:sz w:val="20"/>
          <w:szCs w:val="20"/>
        </w:rPr>
        <w:t>.</w:t>
      </w:r>
    </w:p>
    <w:p w:rsidR="000C6DBC" w:rsidRDefault="00B163F2" w:rsidP="00951238">
      <w:pPr>
        <w:spacing w:after="120" w:line="240" w:lineRule="auto"/>
        <w:jc w:val="both"/>
        <w:rPr>
          <w:sz w:val="20"/>
          <w:szCs w:val="20"/>
        </w:rPr>
      </w:pPr>
      <w:r>
        <w:rPr>
          <w:sz w:val="20"/>
          <w:szCs w:val="20"/>
        </w:rPr>
        <w:t>VK schätzt</w:t>
      </w:r>
      <w:r w:rsidR="00CE7EC9" w:rsidRPr="00CE7EC9">
        <w:rPr>
          <w:sz w:val="20"/>
          <w:szCs w:val="20"/>
        </w:rPr>
        <w:t xml:space="preserve"> Varianzen,</w:t>
      </w:r>
      <w:r w:rsidR="00CE7EC9">
        <w:rPr>
          <w:sz w:val="20"/>
          <w:szCs w:val="20"/>
        </w:rPr>
        <w:t xml:space="preserve"> welche das Ausmaß der</w:t>
      </w:r>
      <w:r w:rsidR="00CE7EC9" w:rsidRPr="00CE7EC9">
        <w:rPr>
          <w:sz w:val="20"/>
          <w:szCs w:val="20"/>
        </w:rPr>
        <w:t xml:space="preserve"> </w:t>
      </w:r>
      <w:r>
        <w:rPr>
          <w:sz w:val="20"/>
          <w:szCs w:val="20"/>
        </w:rPr>
        <w:t xml:space="preserve">verschiedenen </w:t>
      </w:r>
      <w:r w:rsidR="00CE7EC9" w:rsidRPr="00CE7EC9">
        <w:rPr>
          <w:sz w:val="20"/>
          <w:szCs w:val="20"/>
        </w:rPr>
        <w:t>Sorte</w:t>
      </w:r>
      <m:oMath>
        <m:r>
          <w:rPr>
            <w:rFonts w:ascii="Cambria Math" w:hAnsi="Cambria Math"/>
            <w:sz w:val="20"/>
            <w:szCs w:val="20"/>
          </w:rPr>
          <m:t>×</m:t>
        </m:r>
      </m:oMath>
      <w:r w:rsidR="00CE7EC9" w:rsidRPr="00CE7EC9">
        <w:rPr>
          <w:sz w:val="20"/>
          <w:szCs w:val="20"/>
        </w:rPr>
        <w:t>Umwelt-Wechselwirkungen</w:t>
      </w:r>
      <w:r w:rsidR="00CE7EC9">
        <w:rPr>
          <w:sz w:val="20"/>
          <w:szCs w:val="20"/>
        </w:rPr>
        <w:t xml:space="preserve"> quantifizieren</w:t>
      </w:r>
      <w:r w:rsidR="00CE7EC9" w:rsidRPr="00CE7EC9">
        <w:rPr>
          <w:sz w:val="20"/>
          <w:szCs w:val="20"/>
        </w:rPr>
        <w:t xml:space="preserve">. </w:t>
      </w:r>
      <w:r w:rsidR="000C6DBC">
        <w:rPr>
          <w:sz w:val="20"/>
          <w:szCs w:val="20"/>
        </w:rPr>
        <w:t>Diese Varianz</w:t>
      </w:r>
      <w:r w:rsidR="00B103E9">
        <w:rPr>
          <w:sz w:val="20"/>
          <w:szCs w:val="20"/>
        </w:rPr>
        <w:t>tabelle</w:t>
      </w:r>
      <w:r w:rsidR="000C6DBC">
        <w:rPr>
          <w:sz w:val="20"/>
          <w:szCs w:val="20"/>
        </w:rPr>
        <w:t xml:space="preserve"> </w:t>
      </w:r>
      <w:r w:rsidR="00B103E9">
        <w:rPr>
          <w:sz w:val="20"/>
          <w:szCs w:val="20"/>
        </w:rPr>
        <w:t>wird</w:t>
      </w:r>
      <w:r w:rsidR="000C6DBC">
        <w:rPr>
          <w:sz w:val="20"/>
          <w:szCs w:val="20"/>
        </w:rPr>
        <w:t xml:space="preserve"> </w:t>
      </w:r>
      <w:r w:rsidR="00BE38E7">
        <w:rPr>
          <w:sz w:val="20"/>
          <w:szCs w:val="20"/>
        </w:rPr>
        <w:t xml:space="preserve">auf dem Computer als </w:t>
      </w:r>
      <w:r w:rsidR="004C7393">
        <w:rPr>
          <w:sz w:val="20"/>
          <w:szCs w:val="20"/>
        </w:rPr>
        <w:t xml:space="preserve">*.sas7bdat-Datei gespeichert und </w:t>
      </w:r>
      <w:r w:rsidR="000C6DBC">
        <w:rPr>
          <w:sz w:val="20"/>
          <w:szCs w:val="20"/>
        </w:rPr>
        <w:t xml:space="preserve">nachfolgend im Verfahren MW </w:t>
      </w:r>
      <w:r w:rsidR="00B103E9">
        <w:rPr>
          <w:sz w:val="20"/>
          <w:szCs w:val="20"/>
        </w:rPr>
        <w:t>genutzt</w:t>
      </w:r>
      <w:r w:rsidR="000C6DBC">
        <w:rPr>
          <w:sz w:val="20"/>
          <w:szCs w:val="20"/>
        </w:rPr>
        <w:t xml:space="preserve">. </w:t>
      </w:r>
      <w:r w:rsidR="00E419B8">
        <w:rPr>
          <w:sz w:val="20"/>
          <w:szCs w:val="20"/>
        </w:rPr>
        <w:t>Das gemischte Modell</w:t>
      </w:r>
      <w:r w:rsidR="00E419B8" w:rsidRPr="00CE7EC9">
        <w:rPr>
          <w:sz w:val="20"/>
          <w:szCs w:val="20"/>
        </w:rPr>
        <w:t xml:space="preserve"> </w:t>
      </w:r>
      <w:r w:rsidR="00CE7EC9" w:rsidRPr="00CE7EC9">
        <w:rPr>
          <w:sz w:val="20"/>
          <w:szCs w:val="20"/>
        </w:rPr>
        <w:t>führt</w:t>
      </w:r>
      <w:r w:rsidR="00BE38E7">
        <w:rPr>
          <w:sz w:val="20"/>
          <w:szCs w:val="20"/>
        </w:rPr>
        <w:t xml:space="preserve"> mit diesen V</w:t>
      </w:r>
      <w:r w:rsidR="00E419B8">
        <w:rPr>
          <w:sz w:val="20"/>
          <w:szCs w:val="20"/>
        </w:rPr>
        <w:t>arianzen</w:t>
      </w:r>
      <w:r w:rsidR="00CE7EC9" w:rsidRPr="00CE7EC9">
        <w:rPr>
          <w:sz w:val="20"/>
          <w:szCs w:val="20"/>
        </w:rPr>
        <w:t xml:space="preserve"> </w:t>
      </w:r>
      <w:r w:rsidR="000C6DBC">
        <w:rPr>
          <w:sz w:val="20"/>
          <w:szCs w:val="20"/>
        </w:rPr>
        <w:t>in MW</w:t>
      </w:r>
      <w:r w:rsidR="002274B4">
        <w:rPr>
          <w:sz w:val="20"/>
          <w:szCs w:val="20"/>
        </w:rPr>
        <w:t xml:space="preserve"> </w:t>
      </w:r>
      <w:r w:rsidR="00CE7EC9" w:rsidRPr="00CE7EC9">
        <w:rPr>
          <w:sz w:val="20"/>
          <w:szCs w:val="20"/>
        </w:rPr>
        <w:t>zu eine</w:t>
      </w:r>
      <w:r w:rsidR="000C6DBC">
        <w:rPr>
          <w:sz w:val="20"/>
          <w:szCs w:val="20"/>
        </w:rPr>
        <w:t>r</w:t>
      </w:r>
      <w:r w:rsidR="00CE7EC9" w:rsidRPr="00CE7EC9">
        <w:rPr>
          <w:sz w:val="20"/>
          <w:szCs w:val="20"/>
        </w:rPr>
        <w:t xml:space="preserve"> </w:t>
      </w:r>
      <w:r w:rsidR="00BA2275">
        <w:rPr>
          <w:sz w:val="20"/>
          <w:szCs w:val="20"/>
        </w:rPr>
        <w:t>bestmöglichen</w:t>
      </w:r>
      <w:r w:rsidR="00CE7EC9" w:rsidRPr="00CE7EC9">
        <w:rPr>
          <w:sz w:val="20"/>
          <w:szCs w:val="20"/>
        </w:rPr>
        <w:t xml:space="preserve"> </w:t>
      </w:r>
      <w:r w:rsidR="000C6DBC">
        <w:rPr>
          <w:sz w:val="20"/>
          <w:szCs w:val="20"/>
        </w:rPr>
        <w:t>Verdichtung /</w:t>
      </w:r>
      <w:r w:rsidR="008222A1">
        <w:rPr>
          <w:sz w:val="20"/>
          <w:szCs w:val="20"/>
        </w:rPr>
        <w:t xml:space="preserve"> </w:t>
      </w:r>
      <w:r w:rsidR="000C6DBC">
        <w:rPr>
          <w:sz w:val="20"/>
          <w:szCs w:val="20"/>
        </w:rPr>
        <w:t>Gewichtung der Informationen aus den Urdaten für die Schätzung der sortenspezifischen Erwar</w:t>
      </w:r>
      <w:r w:rsidR="008222A1">
        <w:rPr>
          <w:sz w:val="20"/>
          <w:szCs w:val="20"/>
        </w:rPr>
        <w:softHyphen/>
      </w:r>
      <w:r w:rsidR="000C6DBC">
        <w:rPr>
          <w:sz w:val="20"/>
          <w:szCs w:val="20"/>
        </w:rPr>
        <w:t>tungs</w:t>
      </w:r>
      <w:r w:rsidR="008222A1">
        <w:rPr>
          <w:sz w:val="20"/>
          <w:szCs w:val="20"/>
        </w:rPr>
        <w:softHyphen/>
      </w:r>
      <w:r w:rsidR="000C6DBC">
        <w:rPr>
          <w:sz w:val="20"/>
          <w:szCs w:val="20"/>
        </w:rPr>
        <w:t>werte.</w:t>
      </w:r>
    </w:p>
    <w:p w:rsidR="000C6DBC" w:rsidRDefault="000F5583" w:rsidP="00951238">
      <w:pPr>
        <w:spacing w:after="120" w:line="240" w:lineRule="auto"/>
        <w:jc w:val="both"/>
        <w:rPr>
          <w:sz w:val="20"/>
          <w:szCs w:val="20"/>
        </w:rPr>
      </w:pPr>
      <w:r>
        <w:rPr>
          <w:sz w:val="20"/>
          <w:szCs w:val="20"/>
        </w:rPr>
        <w:t>Ein</w:t>
      </w:r>
      <w:r w:rsidR="000C6DBC">
        <w:rPr>
          <w:sz w:val="20"/>
          <w:szCs w:val="20"/>
        </w:rPr>
        <w:t xml:space="preserve"> spezielle</w:t>
      </w:r>
      <w:r w:rsidR="009C554F">
        <w:rPr>
          <w:sz w:val="20"/>
          <w:szCs w:val="20"/>
        </w:rPr>
        <w:t>s</w:t>
      </w:r>
      <w:r>
        <w:rPr>
          <w:sz w:val="20"/>
          <w:szCs w:val="20"/>
        </w:rPr>
        <w:t xml:space="preserve"> </w:t>
      </w:r>
      <w:r w:rsidR="009C554F">
        <w:rPr>
          <w:sz w:val="20"/>
          <w:szCs w:val="20"/>
        </w:rPr>
        <w:t>‚Angebot‘</w:t>
      </w:r>
      <w:r>
        <w:rPr>
          <w:sz w:val="20"/>
          <w:szCs w:val="20"/>
        </w:rPr>
        <w:t xml:space="preserve"> der</w:t>
      </w:r>
      <w:r w:rsidR="000C6DBC">
        <w:rPr>
          <w:sz w:val="20"/>
          <w:szCs w:val="20"/>
        </w:rPr>
        <w:t xml:space="preserve"> HGM</w:t>
      </w:r>
      <w:r>
        <w:rPr>
          <w:sz w:val="20"/>
          <w:szCs w:val="20"/>
        </w:rPr>
        <w:t xml:space="preserve"> ist die </w:t>
      </w:r>
      <w:r w:rsidR="009C554F">
        <w:rPr>
          <w:sz w:val="20"/>
          <w:szCs w:val="20"/>
        </w:rPr>
        <w:t xml:space="preserve">optionale </w:t>
      </w:r>
      <w:r>
        <w:rPr>
          <w:sz w:val="20"/>
          <w:szCs w:val="20"/>
        </w:rPr>
        <w:t xml:space="preserve">Einbeziehung von Daten aus standortkundlich ähnlichen Nachbargebieten für die Aussagen für ein Zielgebiet. Ergebnisse aus Nachbargebieten werden </w:t>
      </w:r>
      <w:r w:rsidR="009C554F">
        <w:rPr>
          <w:sz w:val="20"/>
          <w:szCs w:val="20"/>
        </w:rPr>
        <w:t xml:space="preserve">dann </w:t>
      </w:r>
      <w:r>
        <w:rPr>
          <w:sz w:val="20"/>
          <w:szCs w:val="20"/>
        </w:rPr>
        <w:t xml:space="preserve">geringer gewichtet als </w:t>
      </w:r>
      <w:r w:rsidR="008222A1">
        <w:rPr>
          <w:sz w:val="20"/>
          <w:szCs w:val="20"/>
        </w:rPr>
        <w:t>Ergebnisse</w:t>
      </w:r>
      <w:r>
        <w:rPr>
          <w:sz w:val="20"/>
          <w:szCs w:val="20"/>
        </w:rPr>
        <w:t xml:space="preserve"> aus Zielgebieten</w:t>
      </w:r>
      <w:r w:rsidR="008222A1">
        <w:rPr>
          <w:sz w:val="20"/>
          <w:szCs w:val="20"/>
        </w:rPr>
        <w:t>. Die Varianzschätzungen optimieren diese Gewichtung</w:t>
      </w:r>
      <w:r w:rsidR="009C554F">
        <w:rPr>
          <w:sz w:val="20"/>
          <w:szCs w:val="20"/>
        </w:rPr>
        <w:t>sabstufung</w:t>
      </w:r>
      <w:r w:rsidR="008222A1">
        <w:rPr>
          <w:sz w:val="20"/>
          <w:szCs w:val="20"/>
        </w:rPr>
        <w:t xml:space="preserve"> sorten</w:t>
      </w:r>
      <w:r w:rsidR="009C554F">
        <w:rPr>
          <w:sz w:val="20"/>
          <w:szCs w:val="20"/>
        </w:rPr>
        <w:softHyphen/>
      </w:r>
      <w:r w:rsidR="008222A1">
        <w:rPr>
          <w:sz w:val="20"/>
          <w:szCs w:val="20"/>
        </w:rPr>
        <w:t>spezifisch</w:t>
      </w:r>
      <w:r w:rsidR="00B103E9">
        <w:rPr>
          <w:sz w:val="20"/>
          <w:szCs w:val="20"/>
        </w:rPr>
        <w:t xml:space="preserve"> (!)</w:t>
      </w:r>
      <w:r w:rsidR="008222A1">
        <w:rPr>
          <w:sz w:val="20"/>
          <w:szCs w:val="20"/>
        </w:rPr>
        <w:t xml:space="preserve"> in der Weise, dass der Gewinn an Präzision für das Zielgebiet</w:t>
      </w:r>
      <w:r w:rsidR="00B103E9">
        <w:rPr>
          <w:sz w:val="20"/>
          <w:szCs w:val="20"/>
        </w:rPr>
        <w:t xml:space="preserve"> jeweils</w:t>
      </w:r>
      <w:r w:rsidR="008222A1">
        <w:rPr>
          <w:sz w:val="20"/>
          <w:szCs w:val="20"/>
        </w:rPr>
        <w:t xml:space="preserve"> stärker ist als ein möglicher Nachteil durch spezifische Effekte in Nach</w:t>
      </w:r>
      <w:r w:rsidR="009C554F">
        <w:rPr>
          <w:sz w:val="20"/>
          <w:szCs w:val="20"/>
        </w:rPr>
        <w:softHyphen/>
      </w:r>
      <w:r w:rsidR="008222A1">
        <w:rPr>
          <w:sz w:val="20"/>
          <w:szCs w:val="20"/>
        </w:rPr>
        <w:t xml:space="preserve">bargebieten. Die Sortenspezifik schlägt sich dabei in der Weise nieder, dass bei </w:t>
      </w:r>
      <w:r w:rsidR="00951238">
        <w:rPr>
          <w:sz w:val="20"/>
          <w:szCs w:val="20"/>
        </w:rPr>
        <w:t xml:space="preserve">sehr </w:t>
      </w:r>
      <w:r w:rsidR="008222A1">
        <w:rPr>
          <w:sz w:val="20"/>
          <w:szCs w:val="20"/>
        </w:rPr>
        <w:t>jungen</w:t>
      </w:r>
      <w:r w:rsidR="007A41EF">
        <w:rPr>
          <w:sz w:val="20"/>
          <w:szCs w:val="20"/>
        </w:rPr>
        <w:t xml:space="preserve"> </w:t>
      </w:r>
      <w:r w:rsidR="008222A1">
        <w:rPr>
          <w:sz w:val="20"/>
          <w:szCs w:val="20"/>
        </w:rPr>
        <w:t xml:space="preserve">Sorten mit noch sehr wenigen </w:t>
      </w:r>
      <w:r w:rsidR="00803E7A">
        <w:rPr>
          <w:sz w:val="20"/>
          <w:szCs w:val="20"/>
        </w:rPr>
        <w:t>Ergebnisse</w:t>
      </w:r>
      <w:r w:rsidR="001F539E">
        <w:rPr>
          <w:sz w:val="20"/>
          <w:szCs w:val="20"/>
        </w:rPr>
        <w:t>n (</w:t>
      </w:r>
      <m:oMath>
        <m:sSubSup>
          <m:sSubSupPr>
            <m:ctrlPr>
              <w:rPr>
                <w:rFonts w:ascii="Cambria Math" w:hAnsi="Cambria Math"/>
                <w:sz w:val="20"/>
                <w:szCs w:val="20"/>
              </w:rPr>
            </m:ctrlPr>
          </m:sSubSupPr>
          <m:e>
            <m:r>
              <m:rPr>
                <m:sty m:val="p"/>
              </m:rPr>
              <w:rPr>
                <w:rFonts w:ascii="Cambria Math" w:hAnsi="Cambria Math"/>
                <w:sz w:val="20"/>
                <w:szCs w:val="20"/>
              </w:rPr>
              <m:t>N</m:t>
            </m:r>
          </m:e>
          <m:sub>
            <m:r>
              <m:rPr>
                <m:sty m:val="p"/>
              </m:rPr>
              <w:rPr>
                <w:rFonts w:ascii="Cambria Math" w:hAnsi="Cambria Math"/>
                <w:sz w:val="20"/>
                <w:szCs w:val="20"/>
              </w:rPr>
              <m:t xml:space="preserve">~ </m:t>
            </m:r>
          </m:sub>
          <m:sup>
            <m:r>
              <m:rPr>
                <m:sty m:val="p"/>
              </m:rPr>
              <w:rPr>
                <w:rFonts w:ascii="Cambria Math" w:hAnsi="Cambria Math"/>
                <w:sz w:val="20"/>
                <w:szCs w:val="20"/>
              </w:rPr>
              <m:t>&lt;</m:t>
            </m:r>
          </m:sup>
        </m:sSubSup>
        <m:r>
          <w:rPr>
            <w:rFonts w:ascii="Cambria Math" w:hAnsi="Cambria Math"/>
            <w:sz w:val="20"/>
            <w:szCs w:val="20"/>
          </w:rPr>
          <m:t>8</m:t>
        </m:r>
      </m:oMath>
      <w:r w:rsidR="001F539E">
        <w:rPr>
          <w:sz w:val="20"/>
          <w:szCs w:val="20"/>
        </w:rPr>
        <w:t>)</w:t>
      </w:r>
      <w:r w:rsidR="008222A1">
        <w:rPr>
          <w:sz w:val="20"/>
          <w:szCs w:val="20"/>
        </w:rPr>
        <w:t xml:space="preserve"> </w:t>
      </w:r>
      <w:r w:rsidR="00850290">
        <w:rPr>
          <w:sz w:val="20"/>
          <w:szCs w:val="20"/>
        </w:rPr>
        <w:t>Versuche aus</w:t>
      </w:r>
      <w:r w:rsidR="00E61D38">
        <w:rPr>
          <w:sz w:val="20"/>
          <w:szCs w:val="20"/>
        </w:rPr>
        <w:t xml:space="preserve"> </w:t>
      </w:r>
      <w:r w:rsidR="008222A1">
        <w:rPr>
          <w:sz w:val="20"/>
          <w:szCs w:val="20"/>
        </w:rPr>
        <w:t>Nachbar</w:t>
      </w:r>
      <w:r w:rsidR="00850290">
        <w:rPr>
          <w:sz w:val="20"/>
          <w:szCs w:val="20"/>
        </w:rPr>
        <w:softHyphen/>
      </w:r>
      <w:r w:rsidR="008222A1">
        <w:rPr>
          <w:sz w:val="20"/>
          <w:szCs w:val="20"/>
        </w:rPr>
        <w:t>gebiete</w:t>
      </w:r>
      <w:r w:rsidR="00850290">
        <w:rPr>
          <w:sz w:val="20"/>
          <w:szCs w:val="20"/>
        </w:rPr>
        <w:t>n</w:t>
      </w:r>
      <w:r w:rsidR="008222A1">
        <w:rPr>
          <w:sz w:val="20"/>
          <w:szCs w:val="20"/>
        </w:rPr>
        <w:t xml:space="preserve"> nur wenig geringer gewichtet werden</w:t>
      </w:r>
      <w:r w:rsidR="00E61D38">
        <w:rPr>
          <w:sz w:val="20"/>
          <w:szCs w:val="20"/>
        </w:rPr>
        <w:t xml:space="preserve"> als </w:t>
      </w:r>
      <w:r w:rsidR="00850290">
        <w:rPr>
          <w:sz w:val="20"/>
          <w:szCs w:val="20"/>
        </w:rPr>
        <w:t>die des</w:t>
      </w:r>
      <w:r w:rsidR="00E61D38">
        <w:rPr>
          <w:sz w:val="20"/>
          <w:szCs w:val="20"/>
        </w:rPr>
        <w:t xml:space="preserve"> Zielgebiet</w:t>
      </w:r>
      <w:r w:rsidR="00850290">
        <w:rPr>
          <w:sz w:val="20"/>
          <w:szCs w:val="20"/>
        </w:rPr>
        <w:t>es</w:t>
      </w:r>
      <w:r w:rsidR="008222A1">
        <w:rPr>
          <w:sz w:val="20"/>
          <w:szCs w:val="20"/>
        </w:rPr>
        <w:t xml:space="preserve">, während </w:t>
      </w:r>
      <w:r w:rsidR="00340179">
        <w:rPr>
          <w:sz w:val="20"/>
          <w:szCs w:val="20"/>
        </w:rPr>
        <w:t>mit zunehmender Datenbasis im Zielgebiet</w:t>
      </w:r>
      <w:r w:rsidR="00E61D38">
        <w:rPr>
          <w:sz w:val="20"/>
          <w:szCs w:val="20"/>
        </w:rPr>
        <w:t xml:space="preserve"> (</w:t>
      </w:r>
      <m:oMath>
        <m:sSubSup>
          <m:sSubSupPr>
            <m:ctrlPr>
              <w:rPr>
                <w:rFonts w:ascii="Cambria Math" w:hAnsi="Cambria Math"/>
                <w:sz w:val="20"/>
                <w:szCs w:val="20"/>
              </w:rPr>
            </m:ctrlPr>
          </m:sSubSupPr>
          <m:e>
            <m:r>
              <m:rPr>
                <m:sty m:val="p"/>
              </m:rPr>
              <w:rPr>
                <w:rFonts w:ascii="Cambria Math" w:hAnsi="Cambria Math"/>
                <w:sz w:val="20"/>
                <w:szCs w:val="20"/>
              </w:rPr>
              <m:t>N</m:t>
            </m:r>
          </m:e>
          <m:sub>
            <m:r>
              <m:rPr>
                <m:sty m:val="p"/>
              </m:rPr>
              <w:rPr>
                <w:rFonts w:ascii="Cambria Math" w:hAnsi="Cambria Math"/>
                <w:sz w:val="20"/>
                <w:szCs w:val="20"/>
              </w:rPr>
              <m:t xml:space="preserve">~ </m:t>
            </m:r>
          </m:sub>
          <m:sup>
            <m:r>
              <m:rPr>
                <m:sty m:val="p"/>
              </m:rPr>
              <w:rPr>
                <w:rFonts w:ascii="Cambria Math" w:hAnsi="Cambria Math"/>
                <w:sz w:val="20"/>
                <w:szCs w:val="20"/>
              </w:rPr>
              <m:t>&gt;</m:t>
            </m:r>
          </m:sup>
        </m:sSubSup>
        <m:r>
          <w:rPr>
            <w:rFonts w:ascii="Cambria Math" w:hAnsi="Cambria Math"/>
            <w:sz w:val="20"/>
            <w:szCs w:val="20"/>
          </w:rPr>
          <m:t xml:space="preserve">16 </m:t>
        </m:r>
      </m:oMath>
      <w:r w:rsidR="00E61D38">
        <w:rPr>
          <w:sz w:val="20"/>
          <w:szCs w:val="20"/>
        </w:rPr>
        <w:t xml:space="preserve"> </w:t>
      </w:r>
      <w:r w:rsidR="008222A1">
        <w:rPr>
          <w:sz w:val="20"/>
          <w:szCs w:val="20"/>
        </w:rPr>
        <w:t>mehrjährig geprüf</w:t>
      </w:r>
      <w:r w:rsidR="00E61D38">
        <w:rPr>
          <w:sz w:val="20"/>
          <w:szCs w:val="20"/>
        </w:rPr>
        <w:softHyphen/>
      </w:r>
      <w:r w:rsidR="00BE38E7">
        <w:rPr>
          <w:sz w:val="20"/>
          <w:szCs w:val="20"/>
        </w:rPr>
        <w:t>te</w:t>
      </w:r>
      <w:r w:rsidR="008222A1">
        <w:rPr>
          <w:sz w:val="20"/>
          <w:szCs w:val="20"/>
        </w:rPr>
        <w:t xml:space="preserve"> Sorten</w:t>
      </w:r>
      <w:r w:rsidR="00340179">
        <w:rPr>
          <w:sz w:val="20"/>
          <w:szCs w:val="20"/>
        </w:rPr>
        <w:t>) die Daten au</w:t>
      </w:r>
      <w:r w:rsidR="008222A1">
        <w:rPr>
          <w:sz w:val="20"/>
          <w:szCs w:val="20"/>
        </w:rPr>
        <w:t xml:space="preserve">s </w:t>
      </w:r>
      <w:r w:rsidR="00340179">
        <w:rPr>
          <w:sz w:val="20"/>
          <w:szCs w:val="20"/>
        </w:rPr>
        <w:t>Nachbargebieten</w:t>
      </w:r>
      <w:r w:rsidR="008222A1">
        <w:rPr>
          <w:sz w:val="20"/>
          <w:szCs w:val="20"/>
        </w:rPr>
        <w:t xml:space="preserve"> </w:t>
      </w:r>
      <w:r w:rsidR="00340179">
        <w:rPr>
          <w:sz w:val="20"/>
          <w:szCs w:val="20"/>
        </w:rPr>
        <w:t>einen immer geringeren</w:t>
      </w:r>
      <w:r w:rsidR="008222A1">
        <w:rPr>
          <w:sz w:val="20"/>
          <w:szCs w:val="20"/>
        </w:rPr>
        <w:t xml:space="preserve"> Einfluss </w:t>
      </w:r>
      <w:r w:rsidR="00340179">
        <w:rPr>
          <w:sz w:val="20"/>
          <w:szCs w:val="20"/>
        </w:rPr>
        <w:t>erhalten</w:t>
      </w:r>
      <w:r w:rsidR="008222A1">
        <w:rPr>
          <w:sz w:val="20"/>
          <w:szCs w:val="20"/>
        </w:rPr>
        <w:t>.</w:t>
      </w:r>
    </w:p>
    <w:p w:rsidR="00B103E9" w:rsidRDefault="00B103E9" w:rsidP="00951238">
      <w:pPr>
        <w:spacing w:after="120" w:line="240" w:lineRule="auto"/>
        <w:jc w:val="both"/>
        <w:rPr>
          <w:sz w:val="20"/>
          <w:szCs w:val="20"/>
        </w:rPr>
      </w:pPr>
      <w:r>
        <w:rPr>
          <w:sz w:val="20"/>
          <w:szCs w:val="20"/>
        </w:rPr>
        <w:t xml:space="preserve">Ist für das Verfahren </w:t>
      </w:r>
      <w:r w:rsidR="00EA7E6A">
        <w:rPr>
          <w:sz w:val="20"/>
          <w:szCs w:val="20"/>
        </w:rPr>
        <w:t xml:space="preserve">MW </w:t>
      </w:r>
      <w:r>
        <w:rPr>
          <w:sz w:val="20"/>
          <w:szCs w:val="20"/>
        </w:rPr>
        <w:t xml:space="preserve">die </w:t>
      </w:r>
      <w:r w:rsidR="007F3F35">
        <w:rPr>
          <w:sz w:val="20"/>
          <w:szCs w:val="20"/>
        </w:rPr>
        <w:t>Berücksichtigung</w:t>
      </w:r>
      <w:r>
        <w:rPr>
          <w:sz w:val="20"/>
          <w:szCs w:val="20"/>
        </w:rPr>
        <w:t xml:space="preserve"> der Einzelversuchsfehler (SE) zur optimierten Gewichtungs</w:t>
      </w:r>
      <w:r w:rsidR="007F3F35">
        <w:rPr>
          <w:sz w:val="20"/>
          <w:szCs w:val="20"/>
        </w:rPr>
        <w:softHyphen/>
      </w:r>
      <w:r>
        <w:rPr>
          <w:sz w:val="20"/>
          <w:szCs w:val="20"/>
        </w:rPr>
        <w:t>abstufung in der Serienauswertung vorgesehen, so muss dies bereits in VK vorbereitet werden, da die Varianz</w:t>
      </w:r>
      <w:r w:rsidR="007F3F35">
        <w:rPr>
          <w:sz w:val="20"/>
          <w:szCs w:val="20"/>
        </w:rPr>
        <w:softHyphen/>
      </w:r>
      <w:r>
        <w:rPr>
          <w:sz w:val="20"/>
          <w:szCs w:val="20"/>
        </w:rPr>
        <w:t xml:space="preserve">struktur beeinflusst wird. Die Gewichtungsabstufung in MW‘hängt von den Relationen </w:t>
      </w:r>
      <w:r w:rsidR="0037728B">
        <w:rPr>
          <w:sz w:val="20"/>
          <w:szCs w:val="20"/>
        </w:rPr>
        <w:t>der</w:t>
      </w:r>
      <w:r>
        <w:rPr>
          <w:sz w:val="20"/>
          <w:szCs w:val="20"/>
        </w:rPr>
        <w:t xml:space="preserve"> </w:t>
      </w:r>
      <w:r w:rsidRPr="00CE7EC9">
        <w:rPr>
          <w:sz w:val="20"/>
          <w:szCs w:val="20"/>
        </w:rPr>
        <w:t>Sorte</w:t>
      </w:r>
      <m:oMath>
        <m:r>
          <w:rPr>
            <w:rFonts w:ascii="Cambria Math" w:hAnsi="Cambria Math"/>
            <w:sz w:val="20"/>
            <w:szCs w:val="20"/>
          </w:rPr>
          <m:t>×</m:t>
        </m:r>
      </m:oMath>
      <w:r w:rsidRPr="00CE7EC9">
        <w:rPr>
          <w:sz w:val="20"/>
          <w:szCs w:val="20"/>
        </w:rPr>
        <w:t>Umwelt</w:t>
      </w:r>
      <w:r w:rsidR="007F3F35">
        <w:rPr>
          <w:sz w:val="20"/>
          <w:szCs w:val="20"/>
        </w:rPr>
        <w:t xml:space="preserve"> </w:t>
      </w:r>
      <w:r>
        <w:rPr>
          <w:sz w:val="20"/>
          <w:szCs w:val="20"/>
        </w:rPr>
        <w:t>-</w:t>
      </w:r>
      <w:r w:rsidR="007F3F35">
        <w:rPr>
          <w:sz w:val="20"/>
          <w:szCs w:val="20"/>
        </w:rPr>
        <w:t xml:space="preserve"> </w:t>
      </w:r>
      <w:r>
        <w:rPr>
          <w:sz w:val="20"/>
          <w:szCs w:val="20"/>
        </w:rPr>
        <w:t>Varianzen zur Restvarianz in Einzelversuchen ab.</w:t>
      </w:r>
    </w:p>
    <w:p w:rsidR="00951238" w:rsidRDefault="00951238" w:rsidP="00951238">
      <w:pPr>
        <w:spacing w:after="120" w:line="240" w:lineRule="auto"/>
        <w:jc w:val="both"/>
        <w:rPr>
          <w:sz w:val="20"/>
          <w:szCs w:val="20"/>
        </w:rPr>
      </w:pPr>
    </w:p>
    <w:p w:rsidR="00AB0761" w:rsidRDefault="00AB0761">
      <w:pPr>
        <w:rPr>
          <w:sz w:val="20"/>
          <w:szCs w:val="20"/>
        </w:rPr>
      </w:pPr>
      <w:r>
        <w:rPr>
          <w:sz w:val="20"/>
          <w:szCs w:val="20"/>
        </w:rPr>
        <w:br w:type="page"/>
      </w:r>
    </w:p>
    <w:p w:rsidR="00D53D5D" w:rsidRPr="005105DD" w:rsidRDefault="00E949CC" w:rsidP="00951238">
      <w:pPr>
        <w:pStyle w:val="Listenabsatz"/>
        <w:numPr>
          <w:ilvl w:val="0"/>
          <w:numId w:val="6"/>
        </w:numPr>
        <w:spacing w:after="120" w:line="240" w:lineRule="auto"/>
        <w:jc w:val="both"/>
        <w:rPr>
          <w:b/>
        </w:rPr>
      </w:pPr>
      <w:r>
        <w:rPr>
          <w:b/>
        </w:rPr>
        <w:lastRenderedPageBreak/>
        <w:t>MW</w:t>
      </w:r>
    </w:p>
    <w:p w:rsidR="002274B4" w:rsidRPr="002274B4" w:rsidRDefault="002274B4" w:rsidP="00951238">
      <w:pPr>
        <w:spacing w:after="120" w:line="240" w:lineRule="auto"/>
        <w:ind w:left="73"/>
        <w:jc w:val="both"/>
        <w:rPr>
          <w:sz w:val="20"/>
          <w:szCs w:val="20"/>
        </w:rPr>
      </w:pPr>
      <w:r>
        <w:rPr>
          <w:sz w:val="20"/>
          <w:szCs w:val="20"/>
        </w:rPr>
        <w:t>Hauptz</w:t>
      </w:r>
      <w:r w:rsidRPr="002274B4">
        <w:rPr>
          <w:sz w:val="20"/>
          <w:szCs w:val="20"/>
        </w:rPr>
        <w:t xml:space="preserve">iel der Auswertung </w:t>
      </w:r>
      <w:r w:rsidR="000B4B5F">
        <w:rPr>
          <w:sz w:val="20"/>
          <w:szCs w:val="20"/>
        </w:rPr>
        <w:t xml:space="preserve">ist die </w:t>
      </w:r>
      <w:r w:rsidR="000B4B5F">
        <w:rPr>
          <w:rFonts w:cs="Arial"/>
          <w:sz w:val="20"/>
        </w:rPr>
        <w:t>Schätzung bzw. Vorhersa</w:t>
      </w:r>
      <w:r w:rsidR="008957EC">
        <w:rPr>
          <w:rFonts w:cs="Arial"/>
          <w:sz w:val="20"/>
        </w:rPr>
        <w:t>g</w:t>
      </w:r>
      <w:r w:rsidR="000B4B5F">
        <w:rPr>
          <w:rFonts w:cs="Arial"/>
          <w:sz w:val="20"/>
        </w:rPr>
        <w:t>e der wahrscheinlichsten Sorteneffekte in einem neuen Jahr an einem beliebigen Standort im Ziel-Anbaugebiet</w:t>
      </w:r>
      <w:r w:rsidRPr="002274B4">
        <w:rPr>
          <w:sz w:val="20"/>
          <w:szCs w:val="20"/>
        </w:rPr>
        <w:t>.</w:t>
      </w:r>
      <w:r w:rsidR="000B4B5F">
        <w:rPr>
          <w:sz w:val="20"/>
          <w:szCs w:val="20"/>
        </w:rPr>
        <w:t xml:space="preserve"> Die </w:t>
      </w:r>
      <w:r w:rsidR="0093194B">
        <w:rPr>
          <w:sz w:val="20"/>
          <w:szCs w:val="20"/>
        </w:rPr>
        <w:t xml:space="preserve">einbezogenen </w:t>
      </w:r>
      <w:r w:rsidR="000B4B5F">
        <w:rPr>
          <w:sz w:val="20"/>
          <w:szCs w:val="20"/>
        </w:rPr>
        <w:t>Jahre und Orte bilden die Stichprobe, nicht den Aussagebereich.</w:t>
      </w:r>
      <w:r w:rsidRPr="002274B4">
        <w:rPr>
          <w:sz w:val="20"/>
          <w:szCs w:val="20"/>
        </w:rPr>
        <w:t xml:space="preserve"> Diese Schätzwert</w:t>
      </w:r>
      <w:r w:rsidR="004C7393">
        <w:rPr>
          <w:sz w:val="20"/>
          <w:szCs w:val="20"/>
        </w:rPr>
        <w:t>e</w:t>
      </w:r>
      <w:r w:rsidRPr="002274B4">
        <w:rPr>
          <w:sz w:val="20"/>
          <w:szCs w:val="20"/>
        </w:rPr>
        <w:t xml:space="preserve"> </w:t>
      </w:r>
      <w:r w:rsidR="004C7393">
        <w:rPr>
          <w:sz w:val="20"/>
          <w:szCs w:val="20"/>
        </w:rPr>
        <w:t>sind</w:t>
      </w:r>
      <w:r w:rsidRPr="002274B4">
        <w:rPr>
          <w:sz w:val="20"/>
          <w:szCs w:val="20"/>
        </w:rPr>
        <w:t xml:space="preserve"> unter Berücksi</w:t>
      </w:r>
      <w:r>
        <w:rPr>
          <w:sz w:val="20"/>
          <w:szCs w:val="20"/>
        </w:rPr>
        <w:t>chtigung aller anderen wert</w:t>
      </w:r>
      <w:r w:rsidR="000B4B5F">
        <w:rPr>
          <w:sz w:val="20"/>
          <w:szCs w:val="20"/>
        </w:rPr>
        <w:softHyphen/>
      </w:r>
      <w:r>
        <w:rPr>
          <w:sz w:val="20"/>
          <w:szCs w:val="20"/>
        </w:rPr>
        <w:t>bestim</w:t>
      </w:r>
      <w:r w:rsidRPr="002274B4">
        <w:rPr>
          <w:sz w:val="20"/>
          <w:szCs w:val="20"/>
        </w:rPr>
        <w:t>men</w:t>
      </w:r>
      <w:r w:rsidR="000B4B5F">
        <w:rPr>
          <w:sz w:val="20"/>
          <w:szCs w:val="20"/>
        </w:rPr>
        <w:softHyphen/>
      </w:r>
      <w:r w:rsidRPr="002274B4">
        <w:rPr>
          <w:sz w:val="20"/>
          <w:szCs w:val="20"/>
        </w:rPr>
        <w:t>den Sorteneigenschaften die beste Grundlage für die Sortenwahl</w:t>
      </w:r>
      <w:r w:rsidR="000B4B5F">
        <w:rPr>
          <w:sz w:val="20"/>
          <w:szCs w:val="20"/>
        </w:rPr>
        <w:t xml:space="preserve"> für ein neues Jahr, </w:t>
      </w:r>
      <w:r w:rsidRPr="002274B4">
        <w:rPr>
          <w:sz w:val="20"/>
          <w:szCs w:val="20"/>
        </w:rPr>
        <w:t xml:space="preserve">dessen konkrete Spezifik (Witterung, Befallssituation </w:t>
      </w:r>
      <w:r w:rsidR="000B4B5F">
        <w:rPr>
          <w:sz w:val="20"/>
          <w:szCs w:val="20"/>
        </w:rPr>
        <w:t xml:space="preserve">…) zur Saatzeit ja noch </w:t>
      </w:r>
      <w:r w:rsidRPr="002274B4">
        <w:rPr>
          <w:sz w:val="20"/>
          <w:szCs w:val="20"/>
        </w:rPr>
        <w:t xml:space="preserve">nicht </w:t>
      </w:r>
      <w:r w:rsidR="000B4B5F">
        <w:rPr>
          <w:sz w:val="20"/>
          <w:szCs w:val="20"/>
        </w:rPr>
        <w:t>absehbar</w:t>
      </w:r>
      <w:r w:rsidRPr="002274B4">
        <w:rPr>
          <w:sz w:val="20"/>
          <w:szCs w:val="20"/>
        </w:rPr>
        <w:t xml:space="preserve"> ist</w:t>
      </w:r>
      <w:r w:rsidR="004C7393">
        <w:rPr>
          <w:sz w:val="20"/>
          <w:szCs w:val="20"/>
        </w:rPr>
        <w:t>.</w:t>
      </w:r>
    </w:p>
    <w:p w:rsidR="002274B4" w:rsidRDefault="002274B4" w:rsidP="00951238">
      <w:pPr>
        <w:spacing w:after="120" w:line="240" w:lineRule="auto"/>
        <w:ind w:left="73"/>
        <w:jc w:val="both"/>
        <w:rPr>
          <w:sz w:val="20"/>
          <w:szCs w:val="20"/>
        </w:rPr>
      </w:pPr>
      <w:r w:rsidRPr="002274B4">
        <w:rPr>
          <w:sz w:val="20"/>
          <w:szCs w:val="20"/>
        </w:rPr>
        <w:t xml:space="preserve">Dabei können </w:t>
      </w:r>
      <w:r w:rsidR="00620DEC">
        <w:rPr>
          <w:sz w:val="20"/>
          <w:szCs w:val="20"/>
        </w:rPr>
        <w:t>mit MW</w:t>
      </w:r>
      <w:r w:rsidR="00AB63BD">
        <w:rPr>
          <w:sz w:val="20"/>
          <w:szCs w:val="20"/>
        </w:rPr>
        <w:t xml:space="preserve"> </w:t>
      </w:r>
      <w:r w:rsidRPr="002274B4">
        <w:rPr>
          <w:sz w:val="20"/>
          <w:szCs w:val="20"/>
        </w:rPr>
        <w:t xml:space="preserve">alle </w:t>
      </w:r>
      <w:r w:rsidR="000B4B5F" w:rsidRPr="002274B4">
        <w:rPr>
          <w:sz w:val="20"/>
          <w:szCs w:val="20"/>
        </w:rPr>
        <w:t xml:space="preserve">verfügbaren </w:t>
      </w:r>
      <w:r w:rsidR="000B4B5F">
        <w:rPr>
          <w:sz w:val="20"/>
          <w:szCs w:val="20"/>
        </w:rPr>
        <w:t xml:space="preserve">langjährigen </w:t>
      </w:r>
      <w:r w:rsidRPr="002274B4">
        <w:rPr>
          <w:sz w:val="20"/>
          <w:szCs w:val="20"/>
        </w:rPr>
        <w:t>Daten</w:t>
      </w:r>
      <w:r w:rsidR="004C7393">
        <w:rPr>
          <w:sz w:val="20"/>
          <w:szCs w:val="20"/>
        </w:rPr>
        <w:t xml:space="preserve"> - </w:t>
      </w:r>
      <w:r w:rsidR="007F3F35" w:rsidRPr="002274B4">
        <w:rPr>
          <w:sz w:val="20"/>
          <w:szCs w:val="20"/>
        </w:rPr>
        <w:t>z.B.</w:t>
      </w:r>
      <w:r w:rsidR="004C7393">
        <w:rPr>
          <w:sz w:val="20"/>
          <w:szCs w:val="20"/>
        </w:rPr>
        <w:t xml:space="preserve"> inklusive</w:t>
      </w:r>
      <w:r w:rsidR="007F3F35" w:rsidRPr="002274B4">
        <w:rPr>
          <w:sz w:val="20"/>
          <w:szCs w:val="20"/>
        </w:rPr>
        <w:t xml:space="preserve"> </w:t>
      </w:r>
      <w:r w:rsidR="007F3F35">
        <w:rPr>
          <w:sz w:val="20"/>
          <w:szCs w:val="20"/>
        </w:rPr>
        <w:t xml:space="preserve">der </w:t>
      </w:r>
      <w:r w:rsidR="007F3F35" w:rsidRPr="002274B4">
        <w:rPr>
          <w:sz w:val="20"/>
          <w:szCs w:val="20"/>
        </w:rPr>
        <w:t xml:space="preserve">den LSV </w:t>
      </w:r>
      <w:r w:rsidR="007F3F35">
        <w:rPr>
          <w:sz w:val="20"/>
          <w:szCs w:val="20"/>
        </w:rPr>
        <w:t xml:space="preserve">zeitlich vorgelagerten WP und EUSV </w:t>
      </w:r>
      <w:r w:rsidR="004C7393">
        <w:rPr>
          <w:sz w:val="20"/>
          <w:szCs w:val="20"/>
        </w:rPr>
        <w:t xml:space="preserve">- </w:t>
      </w:r>
      <w:r w:rsidR="007F3F35" w:rsidRPr="002274B4">
        <w:rPr>
          <w:sz w:val="20"/>
          <w:szCs w:val="20"/>
        </w:rPr>
        <w:t>einbezogen werden</w:t>
      </w:r>
      <w:r w:rsidR="007F3F35">
        <w:rPr>
          <w:sz w:val="20"/>
          <w:szCs w:val="20"/>
        </w:rPr>
        <w:t xml:space="preserve"> (trotz der dann hochgradig </w:t>
      </w:r>
      <w:r w:rsidRPr="002274B4">
        <w:rPr>
          <w:sz w:val="20"/>
          <w:szCs w:val="20"/>
        </w:rPr>
        <w:t>un</w:t>
      </w:r>
      <w:r w:rsidR="00874A94">
        <w:rPr>
          <w:sz w:val="20"/>
          <w:szCs w:val="20"/>
        </w:rPr>
        <w:t>balancierten</w:t>
      </w:r>
      <w:r w:rsidRPr="002274B4">
        <w:rPr>
          <w:sz w:val="20"/>
          <w:szCs w:val="20"/>
        </w:rPr>
        <w:t xml:space="preserve"> Datenstrukturen</w:t>
      </w:r>
      <w:r w:rsidR="007F3F35">
        <w:rPr>
          <w:sz w:val="20"/>
          <w:szCs w:val="20"/>
        </w:rPr>
        <w:t>)</w:t>
      </w:r>
      <w:r w:rsidRPr="002274B4">
        <w:rPr>
          <w:sz w:val="20"/>
          <w:szCs w:val="20"/>
        </w:rPr>
        <w:t xml:space="preserve">. Außerdem können benachbarte standortkundlich ähnliche </w:t>
      </w:r>
      <w:r w:rsidR="00874A94">
        <w:rPr>
          <w:sz w:val="20"/>
          <w:szCs w:val="20"/>
        </w:rPr>
        <w:t>Nachbar</w:t>
      </w:r>
      <w:r w:rsidRPr="002274B4">
        <w:rPr>
          <w:sz w:val="20"/>
          <w:szCs w:val="20"/>
        </w:rPr>
        <w:t>gebiete mit einfließen, wobei diese</w:t>
      </w:r>
      <w:r w:rsidR="00874A94">
        <w:rPr>
          <w:sz w:val="20"/>
          <w:szCs w:val="20"/>
        </w:rPr>
        <w:t xml:space="preserve"> sortenspezifisch</w:t>
      </w:r>
      <w:r w:rsidRPr="002274B4">
        <w:rPr>
          <w:sz w:val="20"/>
          <w:szCs w:val="20"/>
        </w:rPr>
        <w:t xml:space="preserve"> ein optimal verringertes Gewicht erhalten</w:t>
      </w:r>
      <w:r w:rsidR="00620DEC">
        <w:rPr>
          <w:sz w:val="20"/>
          <w:szCs w:val="20"/>
        </w:rPr>
        <w:t xml:space="preserve"> (s.a. Erläuterungen zu VK)</w:t>
      </w:r>
      <w:r w:rsidRPr="002274B4">
        <w:rPr>
          <w:sz w:val="20"/>
          <w:szCs w:val="20"/>
        </w:rPr>
        <w:t>.</w:t>
      </w:r>
      <w:r w:rsidR="000B4B5F">
        <w:rPr>
          <w:sz w:val="20"/>
          <w:szCs w:val="20"/>
        </w:rPr>
        <w:t xml:space="preserve"> Eine durchgängig orthogonale Bezugsbasis ist nicht erforderlich – das gemischte Modell nutzt automatisch sämtliche vorhandenen Brückensorten zwischen Versuchen. Viele Brücken </w:t>
      </w:r>
      <w:r w:rsidR="0093194B">
        <w:rPr>
          <w:sz w:val="20"/>
          <w:szCs w:val="20"/>
        </w:rPr>
        <w:t xml:space="preserve">(z.B. VRS) </w:t>
      </w:r>
      <w:r w:rsidR="00951238">
        <w:rPr>
          <w:sz w:val="20"/>
          <w:szCs w:val="20"/>
        </w:rPr>
        <w:t>stabili</w:t>
      </w:r>
      <w:r w:rsidR="007F3F35">
        <w:rPr>
          <w:sz w:val="20"/>
          <w:szCs w:val="20"/>
        </w:rPr>
        <w:softHyphen/>
      </w:r>
      <w:r w:rsidR="00951238">
        <w:rPr>
          <w:sz w:val="20"/>
          <w:szCs w:val="20"/>
        </w:rPr>
        <w:t>sieren</w:t>
      </w:r>
      <w:r w:rsidR="000B4B5F">
        <w:rPr>
          <w:sz w:val="20"/>
          <w:szCs w:val="20"/>
        </w:rPr>
        <w:t xml:space="preserve"> das Ergebnis.</w:t>
      </w:r>
      <w:r w:rsidRPr="002274B4">
        <w:rPr>
          <w:sz w:val="20"/>
          <w:szCs w:val="20"/>
        </w:rPr>
        <w:t xml:space="preserve"> Für ein vorzugebendes Zielgebiet werden Sorten-</w:t>
      </w:r>
      <w:r w:rsidR="000B4B5F">
        <w:rPr>
          <w:sz w:val="20"/>
          <w:szCs w:val="20"/>
        </w:rPr>
        <w:t>Erwartungswerte</w:t>
      </w:r>
      <w:r w:rsidRPr="002274B4">
        <w:rPr>
          <w:sz w:val="20"/>
          <w:szCs w:val="20"/>
        </w:rPr>
        <w:t xml:space="preserve"> in </w:t>
      </w:r>
      <w:r w:rsidR="00AB63BD">
        <w:rPr>
          <w:sz w:val="20"/>
          <w:szCs w:val="20"/>
        </w:rPr>
        <w:t>der Weise bestimmt, dass</w:t>
      </w:r>
      <w:r w:rsidR="000B4B5F">
        <w:rPr>
          <w:sz w:val="20"/>
          <w:szCs w:val="20"/>
        </w:rPr>
        <w:t xml:space="preserve"> </w:t>
      </w:r>
      <w:r w:rsidR="0093194B">
        <w:rPr>
          <w:sz w:val="20"/>
          <w:szCs w:val="20"/>
        </w:rPr>
        <w:t>jede Sorte</w:t>
      </w:r>
      <w:r w:rsidR="000B4B5F">
        <w:rPr>
          <w:sz w:val="20"/>
          <w:szCs w:val="20"/>
        </w:rPr>
        <w:t xml:space="preserve"> </w:t>
      </w:r>
      <w:r w:rsidRPr="002274B4">
        <w:rPr>
          <w:sz w:val="20"/>
          <w:szCs w:val="20"/>
        </w:rPr>
        <w:t>auf eine einheitliche Ebene /</w:t>
      </w:r>
      <w:r w:rsidR="000B4B5F">
        <w:rPr>
          <w:sz w:val="20"/>
          <w:szCs w:val="20"/>
        </w:rPr>
        <w:t xml:space="preserve"> </w:t>
      </w:r>
      <w:r w:rsidRPr="002274B4">
        <w:rPr>
          <w:sz w:val="20"/>
          <w:szCs w:val="20"/>
        </w:rPr>
        <w:t>Vergleichsbasis /</w:t>
      </w:r>
      <w:r w:rsidR="000B4B5F">
        <w:rPr>
          <w:sz w:val="20"/>
          <w:szCs w:val="20"/>
        </w:rPr>
        <w:t xml:space="preserve"> </w:t>
      </w:r>
      <w:r w:rsidRPr="002274B4">
        <w:rPr>
          <w:sz w:val="20"/>
          <w:szCs w:val="20"/>
        </w:rPr>
        <w:t>mittleres absolutes Ertragsniveau so projiziert</w:t>
      </w:r>
      <w:r w:rsidR="00AB63BD" w:rsidRPr="00AB63BD">
        <w:rPr>
          <w:sz w:val="20"/>
          <w:szCs w:val="20"/>
        </w:rPr>
        <w:t xml:space="preserve"> </w:t>
      </w:r>
      <w:r w:rsidR="0093194B">
        <w:rPr>
          <w:sz w:val="20"/>
          <w:szCs w:val="20"/>
        </w:rPr>
        <w:t>wird</w:t>
      </w:r>
      <w:r w:rsidRPr="002274B4">
        <w:rPr>
          <w:sz w:val="20"/>
          <w:szCs w:val="20"/>
        </w:rPr>
        <w:t xml:space="preserve">, dass </w:t>
      </w:r>
      <w:r w:rsidR="000B4B5F">
        <w:rPr>
          <w:sz w:val="20"/>
          <w:szCs w:val="20"/>
        </w:rPr>
        <w:t>alle Sorten</w:t>
      </w:r>
      <w:r w:rsidRPr="002274B4">
        <w:rPr>
          <w:sz w:val="20"/>
          <w:szCs w:val="20"/>
        </w:rPr>
        <w:t xml:space="preserve"> </w:t>
      </w:r>
      <w:r w:rsidR="000B4B5F">
        <w:rPr>
          <w:sz w:val="20"/>
          <w:szCs w:val="20"/>
        </w:rPr>
        <w:t xml:space="preserve">trotz unterschiedlicher Datenbasis </w:t>
      </w:r>
      <w:r w:rsidRPr="002274B4">
        <w:rPr>
          <w:sz w:val="20"/>
          <w:szCs w:val="20"/>
        </w:rPr>
        <w:t>optimal</w:t>
      </w:r>
      <w:r w:rsidR="0093194B">
        <w:rPr>
          <w:sz w:val="20"/>
          <w:szCs w:val="20"/>
        </w:rPr>
        <w:t xml:space="preserve"> und unverzerrt</w:t>
      </w:r>
      <w:r w:rsidRPr="002274B4">
        <w:rPr>
          <w:sz w:val="20"/>
          <w:szCs w:val="20"/>
        </w:rPr>
        <w:t xml:space="preserve"> miteinander vergleichbar sind (</w:t>
      </w:r>
      <w:r w:rsidR="0010773D">
        <w:rPr>
          <w:sz w:val="20"/>
          <w:szCs w:val="20"/>
        </w:rPr>
        <w:t xml:space="preserve">lsmeans, </w:t>
      </w:r>
      <w:r w:rsidRPr="002274B4">
        <w:rPr>
          <w:sz w:val="20"/>
          <w:szCs w:val="20"/>
        </w:rPr>
        <w:t xml:space="preserve">Adjustierung). Eine Relativierung </w:t>
      </w:r>
      <w:r w:rsidR="007F3F35">
        <w:rPr>
          <w:sz w:val="20"/>
          <w:szCs w:val="20"/>
        </w:rPr>
        <w:t>erfolgt</w:t>
      </w:r>
      <w:r w:rsidRPr="002274B4">
        <w:rPr>
          <w:sz w:val="20"/>
          <w:szCs w:val="20"/>
        </w:rPr>
        <w:t xml:space="preserve"> </w:t>
      </w:r>
      <w:r w:rsidR="007F3F35">
        <w:rPr>
          <w:sz w:val="20"/>
          <w:szCs w:val="20"/>
        </w:rPr>
        <w:t xml:space="preserve">bei Bedarf im Nachgang </w:t>
      </w:r>
      <w:r w:rsidRPr="002274B4">
        <w:rPr>
          <w:sz w:val="20"/>
          <w:szCs w:val="20"/>
        </w:rPr>
        <w:t>außerhalb dieses Verfahrens</w:t>
      </w:r>
      <w:r w:rsidR="0010773D">
        <w:rPr>
          <w:sz w:val="20"/>
          <w:szCs w:val="20"/>
        </w:rPr>
        <w:t xml:space="preserve"> durch den Anwender</w:t>
      </w:r>
      <w:r w:rsidRPr="002274B4">
        <w:rPr>
          <w:sz w:val="20"/>
          <w:szCs w:val="20"/>
        </w:rPr>
        <w:t>.</w:t>
      </w:r>
    </w:p>
    <w:p w:rsidR="000B4B5F" w:rsidRDefault="00951238" w:rsidP="00951238">
      <w:pPr>
        <w:spacing w:before="240" w:after="120" w:line="240" w:lineRule="auto"/>
        <w:ind w:left="74"/>
        <w:jc w:val="both"/>
        <w:rPr>
          <w:sz w:val="20"/>
          <w:szCs w:val="20"/>
        </w:rPr>
      </w:pPr>
      <w:r>
        <w:rPr>
          <w:sz w:val="20"/>
          <w:szCs w:val="20"/>
        </w:rPr>
        <w:t xml:space="preserve">ausgewählte </w:t>
      </w:r>
      <w:r w:rsidR="009B0DAD">
        <w:rPr>
          <w:sz w:val="20"/>
          <w:szCs w:val="20"/>
        </w:rPr>
        <w:t>Nutzer-</w:t>
      </w:r>
      <w:r w:rsidR="000B4B5F">
        <w:rPr>
          <w:sz w:val="20"/>
          <w:szCs w:val="20"/>
        </w:rPr>
        <w:t>Optionen im Verfahren</w:t>
      </w:r>
      <w:r>
        <w:rPr>
          <w:sz w:val="20"/>
          <w:szCs w:val="20"/>
        </w:rPr>
        <w:t xml:space="preserve"> MW</w:t>
      </w:r>
      <w:r w:rsidR="000B4B5F">
        <w:rPr>
          <w:sz w:val="20"/>
          <w:szCs w:val="20"/>
        </w:rPr>
        <w:t>:</w:t>
      </w:r>
    </w:p>
    <w:p w:rsidR="00951238" w:rsidRDefault="00951238" w:rsidP="00951238">
      <w:pPr>
        <w:pStyle w:val="Listenabsatz"/>
        <w:numPr>
          <w:ilvl w:val="0"/>
          <w:numId w:val="15"/>
        </w:numPr>
        <w:spacing w:after="120" w:line="240" w:lineRule="auto"/>
        <w:ind w:left="788" w:hanging="357"/>
        <w:contextualSpacing w:val="0"/>
        <w:jc w:val="both"/>
        <w:rPr>
          <w:sz w:val="20"/>
          <w:szCs w:val="20"/>
        </w:rPr>
      </w:pPr>
      <w:r>
        <w:rPr>
          <w:sz w:val="20"/>
          <w:szCs w:val="20"/>
        </w:rPr>
        <w:t>Nutzung einer Transformation</w:t>
      </w:r>
      <w:r>
        <w:rPr>
          <w:sz w:val="20"/>
          <w:szCs w:val="20"/>
        </w:rPr>
        <w:tab/>
        <w:t xml:space="preserve">(Basis ist PHI; muss </w:t>
      </w:r>
      <w:r w:rsidR="00E67D4B">
        <w:rPr>
          <w:sz w:val="20"/>
          <w:szCs w:val="20"/>
        </w:rPr>
        <w:t>mit gleichem Wert</w:t>
      </w:r>
      <w:r>
        <w:rPr>
          <w:sz w:val="20"/>
          <w:szCs w:val="20"/>
        </w:rPr>
        <w:t xml:space="preserve"> in VK berücksichtigt sein)</w:t>
      </w:r>
    </w:p>
    <w:p w:rsidR="000B4B5F" w:rsidRDefault="000B4B5F" w:rsidP="00951238">
      <w:pPr>
        <w:pStyle w:val="Listenabsatz"/>
        <w:numPr>
          <w:ilvl w:val="0"/>
          <w:numId w:val="15"/>
        </w:numPr>
        <w:spacing w:after="120" w:line="240" w:lineRule="auto"/>
        <w:ind w:left="788" w:hanging="357"/>
        <w:contextualSpacing w:val="0"/>
        <w:jc w:val="both"/>
        <w:rPr>
          <w:sz w:val="20"/>
          <w:szCs w:val="20"/>
        </w:rPr>
      </w:pPr>
      <w:r>
        <w:rPr>
          <w:sz w:val="20"/>
          <w:szCs w:val="20"/>
        </w:rPr>
        <w:t>Nutzung von Nachbargebieten</w:t>
      </w:r>
      <w:r w:rsidR="009B0DAD">
        <w:rPr>
          <w:sz w:val="20"/>
          <w:szCs w:val="20"/>
        </w:rPr>
        <w:tab/>
        <w:t xml:space="preserve">(muss </w:t>
      </w:r>
      <w:r w:rsidR="00E67D4B">
        <w:rPr>
          <w:sz w:val="20"/>
          <w:szCs w:val="20"/>
        </w:rPr>
        <w:t>schon</w:t>
      </w:r>
      <w:r w:rsidR="009B0DAD">
        <w:rPr>
          <w:sz w:val="20"/>
          <w:szCs w:val="20"/>
        </w:rPr>
        <w:t xml:space="preserve"> in VK vorgegeben sein) </w:t>
      </w:r>
    </w:p>
    <w:p w:rsidR="000B4B5F" w:rsidRDefault="009B0DAD" w:rsidP="00951238">
      <w:pPr>
        <w:pStyle w:val="Listenabsatz"/>
        <w:numPr>
          <w:ilvl w:val="0"/>
          <w:numId w:val="15"/>
        </w:numPr>
        <w:spacing w:after="120" w:line="240" w:lineRule="auto"/>
        <w:ind w:left="788" w:hanging="357"/>
        <w:jc w:val="both"/>
        <w:rPr>
          <w:sz w:val="20"/>
          <w:szCs w:val="20"/>
        </w:rPr>
      </w:pPr>
      <w:r>
        <w:rPr>
          <w:sz w:val="20"/>
          <w:szCs w:val="20"/>
        </w:rPr>
        <w:t>Nutzung der Gewichtung nach Versuchspräzision in Einzelversuchen (SE)</w:t>
      </w:r>
    </w:p>
    <w:p w:rsidR="009B0DAD" w:rsidRPr="009B0DAD" w:rsidRDefault="009B0DAD" w:rsidP="00951238">
      <w:pPr>
        <w:spacing w:after="120" w:line="240" w:lineRule="auto"/>
        <w:ind w:left="3540"/>
        <w:jc w:val="both"/>
        <w:rPr>
          <w:sz w:val="20"/>
          <w:szCs w:val="20"/>
        </w:rPr>
      </w:pPr>
      <w:r>
        <w:rPr>
          <w:sz w:val="20"/>
          <w:szCs w:val="20"/>
        </w:rPr>
        <w:t xml:space="preserve">(muss </w:t>
      </w:r>
      <w:r w:rsidR="00E67D4B">
        <w:rPr>
          <w:sz w:val="20"/>
          <w:szCs w:val="20"/>
        </w:rPr>
        <w:t>schon</w:t>
      </w:r>
      <w:r>
        <w:rPr>
          <w:sz w:val="20"/>
          <w:szCs w:val="20"/>
        </w:rPr>
        <w:t xml:space="preserve"> in VK vorgegeben sein)</w:t>
      </w:r>
    </w:p>
    <w:p w:rsidR="009B0DAD" w:rsidRPr="000B4B5F" w:rsidRDefault="009B0DAD" w:rsidP="00951238">
      <w:pPr>
        <w:pStyle w:val="Listenabsatz"/>
        <w:numPr>
          <w:ilvl w:val="0"/>
          <w:numId w:val="15"/>
        </w:numPr>
        <w:spacing w:after="120" w:line="240" w:lineRule="auto"/>
        <w:jc w:val="both"/>
        <w:rPr>
          <w:sz w:val="20"/>
          <w:szCs w:val="20"/>
        </w:rPr>
      </w:pPr>
      <w:r>
        <w:rPr>
          <w:sz w:val="20"/>
          <w:szCs w:val="20"/>
        </w:rPr>
        <w:t>Vorbestimmte Sortierung der Sorten in den Outputs</w:t>
      </w:r>
    </w:p>
    <w:p w:rsidR="000B4B5F" w:rsidRDefault="000B4B5F" w:rsidP="00951238">
      <w:pPr>
        <w:spacing w:after="120" w:line="240" w:lineRule="auto"/>
        <w:ind w:left="73"/>
        <w:jc w:val="both"/>
        <w:rPr>
          <w:sz w:val="20"/>
          <w:szCs w:val="20"/>
        </w:rPr>
      </w:pPr>
    </w:p>
    <w:p w:rsidR="00AB63BD" w:rsidRDefault="00AB63BD" w:rsidP="00951238">
      <w:pPr>
        <w:spacing w:after="120" w:line="240" w:lineRule="auto"/>
        <w:ind w:left="73"/>
        <w:jc w:val="both"/>
        <w:rPr>
          <w:sz w:val="20"/>
          <w:szCs w:val="20"/>
        </w:rPr>
      </w:pPr>
      <w:r>
        <w:rPr>
          <w:sz w:val="20"/>
          <w:szCs w:val="20"/>
        </w:rPr>
        <w:t xml:space="preserve">wesentlichste </w:t>
      </w:r>
      <w:r w:rsidR="00951238">
        <w:rPr>
          <w:sz w:val="20"/>
          <w:szCs w:val="20"/>
        </w:rPr>
        <w:t>Outputs</w:t>
      </w:r>
      <w:r>
        <w:rPr>
          <w:sz w:val="20"/>
          <w:szCs w:val="20"/>
        </w:rPr>
        <w:t xml:space="preserve"> von‚MW:</w:t>
      </w:r>
    </w:p>
    <w:p w:rsidR="00AB63BD" w:rsidRDefault="00AB63BD" w:rsidP="00951238">
      <w:pPr>
        <w:pStyle w:val="Listenabsatz"/>
        <w:numPr>
          <w:ilvl w:val="0"/>
          <w:numId w:val="14"/>
        </w:numPr>
        <w:spacing w:after="120" w:line="240" w:lineRule="auto"/>
        <w:ind w:left="788" w:hanging="357"/>
        <w:contextualSpacing w:val="0"/>
        <w:jc w:val="both"/>
        <w:rPr>
          <w:sz w:val="20"/>
          <w:szCs w:val="20"/>
        </w:rPr>
      </w:pPr>
      <w:r>
        <w:rPr>
          <w:sz w:val="20"/>
          <w:szCs w:val="20"/>
        </w:rPr>
        <w:t>adjustierter Mittelwert</w:t>
      </w:r>
      <w:r w:rsidR="00874A94">
        <w:rPr>
          <w:sz w:val="20"/>
          <w:szCs w:val="20"/>
        </w:rPr>
        <w:t xml:space="preserve"> </w:t>
      </w:r>
      <w:r>
        <w:rPr>
          <w:sz w:val="20"/>
          <w:szCs w:val="20"/>
        </w:rPr>
        <w:t>je Sorte</w:t>
      </w:r>
    </w:p>
    <w:p w:rsidR="00874A94" w:rsidRDefault="00874A94" w:rsidP="00951238">
      <w:pPr>
        <w:pStyle w:val="Listenabsatz"/>
        <w:numPr>
          <w:ilvl w:val="0"/>
          <w:numId w:val="14"/>
        </w:numPr>
        <w:spacing w:after="120" w:line="240" w:lineRule="auto"/>
        <w:ind w:left="788" w:hanging="357"/>
        <w:contextualSpacing w:val="0"/>
        <w:jc w:val="both"/>
        <w:rPr>
          <w:sz w:val="20"/>
          <w:szCs w:val="20"/>
        </w:rPr>
      </w:pPr>
      <w:r>
        <w:rPr>
          <w:sz w:val="20"/>
          <w:szCs w:val="20"/>
        </w:rPr>
        <w:t>adjustierter Mittelwert je Einzelversuch</w:t>
      </w:r>
    </w:p>
    <w:p w:rsidR="00AB63BD" w:rsidRDefault="00AB63BD" w:rsidP="00951238">
      <w:pPr>
        <w:pStyle w:val="Listenabsatz"/>
        <w:numPr>
          <w:ilvl w:val="0"/>
          <w:numId w:val="14"/>
        </w:numPr>
        <w:spacing w:after="120" w:line="240" w:lineRule="auto"/>
        <w:ind w:left="788" w:hanging="357"/>
        <w:contextualSpacing w:val="0"/>
        <w:jc w:val="both"/>
        <w:rPr>
          <w:sz w:val="20"/>
          <w:szCs w:val="20"/>
        </w:rPr>
      </w:pPr>
      <w:r>
        <w:rPr>
          <w:sz w:val="20"/>
          <w:szCs w:val="20"/>
        </w:rPr>
        <w:t>Standardfehler jedes Mittelwertes als Genauigkeitsmaß</w:t>
      </w:r>
    </w:p>
    <w:p w:rsidR="00AB63BD" w:rsidRDefault="00AB63BD" w:rsidP="00951238">
      <w:pPr>
        <w:pStyle w:val="Listenabsatz"/>
        <w:numPr>
          <w:ilvl w:val="0"/>
          <w:numId w:val="14"/>
        </w:numPr>
        <w:spacing w:after="120" w:line="240" w:lineRule="auto"/>
        <w:ind w:left="788" w:hanging="357"/>
        <w:contextualSpacing w:val="0"/>
        <w:jc w:val="both"/>
        <w:rPr>
          <w:sz w:val="20"/>
          <w:szCs w:val="20"/>
        </w:rPr>
      </w:pPr>
      <w:r>
        <w:rPr>
          <w:sz w:val="20"/>
          <w:szCs w:val="20"/>
        </w:rPr>
        <w:t>Ökovalenz (Ökostabilität)</w:t>
      </w:r>
      <w:r w:rsidR="00874A94">
        <w:rPr>
          <w:sz w:val="20"/>
          <w:szCs w:val="20"/>
        </w:rPr>
        <w:t xml:space="preserve"> je Sorte</w:t>
      </w:r>
    </w:p>
    <w:p w:rsidR="00AB63BD" w:rsidRDefault="00AB63BD" w:rsidP="00951238">
      <w:pPr>
        <w:pStyle w:val="Listenabsatz"/>
        <w:numPr>
          <w:ilvl w:val="0"/>
          <w:numId w:val="14"/>
        </w:numPr>
        <w:spacing w:after="120" w:line="240" w:lineRule="auto"/>
        <w:contextualSpacing w:val="0"/>
        <w:jc w:val="both"/>
        <w:rPr>
          <w:sz w:val="20"/>
          <w:szCs w:val="20"/>
        </w:rPr>
      </w:pPr>
      <w:r>
        <w:rPr>
          <w:sz w:val="20"/>
          <w:szCs w:val="20"/>
        </w:rPr>
        <w:t>Ökoregression (</w:t>
      </w:r>
      <w:r w:rsidR="00874A94">
        <w:rPr>
          <w:sz w:val="20"/>
          <w:szCs w:val="20"/>
        </w:rPr>
        <w:t>Reaktion</w:t>
      </w:r>
      <w:r>
        <w:rPr>
          <w:sz w:val="20"/>
          <w:szCs w:val="20"/>
        </w:rPr>
        <w:t xml:space="preserve"> einer Sorte </w:t>
      </w:r>
      <w:r w:rsidR="00874A94">
        <w:rPr>
          <w:sz w:val="20"/>
          <w:szCs w:val="20"/>
        </w:rPr>
        <w:t>auf</w:t>
      </w:r>
      <w:r>
        <w:rPr>
          <w:sz w:val="20"/>
          <w:szCs w:val="20"/>
        </w:rPr>
        <w:t xml:space="preserve"> </w:t>
      </w:r>
      <w:r w:rsidR="009B0DAD" w:rsidRPr="009B0DAD">
        <w:rPr>
          <w:sz w:val="20"/>
          <w:szCs w:val="20"/>
        </w:rPr>
        <w:t>gegensätzliche</w:t>
      </w:r>
      <w:r w:rsidR="009B0DAD">
        <w:rPr>
          <w:sz w:val="20"/>
          <w:szCs w:val="20"/>
        </w:rPr>
        <w:t xml:space="preserve"> </w:t>
      </w:r>
      <w:r>
        <w:rPr>
          <w:sz w:val="20"/>
          <w:szCs w:val="20"/>
        </w:rPr>
        <w:t>Gunstbedingungen)</w:t>
      </w:r>
      <w:r w:rsidR="00951238">
        <w:rPr>
          <w:sz w:val="20"/>
          <w:szCs w:val="20"/>
        </w:rPr>
        <w:t xml:space="preserve"> je Sorte</w:t>
      </w:r>
    </w:p>
    <w:p w:rsidR="00AB63BD" w:rsidRDefault="00AB63BD" w:rsidP="00951238">
      <w:pPr>
        <w:pStyle w:val="Listenabsatz"/>
        <w:numPr>
          <w:ilvl w:val="0"/>
          <w:numId w:val="14"/>
        </w:numPr>
        <w:spacing w:after="120" w:line="240" w:lineRule="auto"/>
        <w:ind w:left="788" w:hanging="357"/>
        <w:contextualSpacing w:val="0"/>
        <w:jc w:val="both"/>
        <w:rPr>
          <w:sz w:val="20"/>
          <w:szCs w:val="20"/>
        </w:rPr>
      </w:pPr>
      <w:r>
        <w:rPr>
          <w:sz w:val="20"/>
          <w:szCs w:val="20"/>
        </w:rPr>
        <w:t xml:space="preserve">Plausibilitätscheck – </w:t>
      </w:r>
      <w:r w:rsidR="00951238">
        <w:rPr>
          <w:sz w:val="20"/>
          <w:szCs w:val="20"/>
        </w:rPr>
        <w:t xml:space="preserve">Visualisierung und Zuordnung </w:t>
      </w:r>
      <w:r>
        <w:rPr>
          <w:sz w:val="20"/>
          <w:szCs w:val="20"/>
        </w:rPr>
        <w:t>auffällige</w:t>
      </w:r>
      <w:r w:rsidR="00951238">
        <w:rPr>
          <w:sz w:val="20"/>
          <w:szCs w:val="20"/>
        </w:rPr>
        <w:t>r</w:t>
      </w:r>
      <w:r>
        <w:rPr>
          <w:sz w:val="20"/>
          <w:szCs w:val="20"/>
        </w:rPr>
        <w:t xml:space="preserve"> </w:t>
      </w:r>
      <w:r w:rsidR="00951238">
        <w:rPr>
          <w:sz w:val="20"/>
          <w:szCs w:val="20"/>
        </w:rPr>
        <w:t>Urw</w:t>
      </w:r>
      <w:r>
        <w:rPr>
          <w:sz w:val="20"/>
          <w:szCs w:val="20"/>
        </w:rPr>
        <w:t>erte</w:t>
      </w:r>
    </w:p>
    <w:p w:rsidR="0055209F" w:rsidRDefault="0055209F" w:rsidP="0055209F">
      <w:pPr>
        <w:spacing w:after="120" w:line="240" w:lineRule="auto"/>
        <w:jc w:val="both"/>
        <w:rPr>
          <w:sz w:val="20"/>
          <w:szCs w:val="20"/>
        </w:rPr>
      </w:pPr>
    </w:p>
    <w:p w:rsidR="00F13A2C" w:rsidRDefault="00F13A2C" w:rsidP="0055209F">
      <w:pPr>
        <w:spacing w:after="120" w:line="240" w:lineRule="auto"/>
        <w:jc w:val="both"/>
        <w:rPr>
          <w:sz w:val="20"/>
          <w:szCs w:val="20"/>
        </w:rPr>
      </w:pPr>
    </w:p>
    <w:p w:rsidR="00F13A2C" w:rsidRDefault="00F13A2C" w:rsidP="0055209F">
      <w:pPr>
        <w:spacing w:after="120" w:line="240" w:lineRule="auto"/>
        <w:jc w:val="both"/>
        <w:rPr>
          <w:sz w:val="20"/>
          <w:szCs w:val="20"/>
        </w:rPr>
      </w:pPr>
    </w:p>
    <w:p w:rsidR="0055209F" w:rsidRDefault="0055209F" w:rsidP="0055209F">
      <w:pPr>
        <w:spacing w:after="120" w:line="240" w:lineRule="auto"/>
        <w:jc w:val="both"/>
        <w:rPr>
          <w:sz w:val="20"/>
          <w:szCs w:val="20"/>
        </w:rPr>
      </w:pPr>
      <w:r>
        <w:rPr>
          <w:sz w:val="20"/>
          <w:szCs w:val="20"/>
        </w:rPr>
        <w:t>Hinweis zur Anzahl einbezogener Jahre</w:t>
      </w:r>
    </w:p>
    <w:p w:rsidR="0055209F" w:rsidRDefault="0055209F" w:rsidP="0055209F">
      <w:pPr>
        <w:spacing w:after="120" w:line="240" w:lineRule="auto"/>
        <w:jc w:val="both"/>
        <w:rPr>
          <w:sz w:val="20"/>
          <w:szCs w:val="20"/>
        </w:rPr>
      </w:pPr>
      <w:r>
        <w:rPr>
          <w:sz w:val="20"/>
          <w:szCs w:val="20"/>
        </w:rPr>
        <w:t xml:space="preserve">Das Verfahren </w:t>
      </w:r>
      <w:r w:rsidR="0010773D">
        <w:rPr>
          <w:sz w:val="20"/>
          <w:szCs w:val="20"/>
        </w:rPr>
        <w:t>MW</w:t>
      </w:r>
      <w:r>
        <w:rPr>
          <w:sz w:val="20"/>
          <w:szCs w:val="20"/>
        </w:rPr>
        <w:t xml:space="preserve"> kann zeitlich auf die</w:t>
      </w:r>
      <w:r w:rsidR="00C05A78">
        <w:rPr>
          <w:sz w:val="20"/>
          <w:szCs w:val="20"/>
        </w:rPr>
        <w:t>jenigen</w:t>
      </w:r>
      <w:r>
        <w:rPr>
          <w:sz w:val="20"/>
          <w:szCs w:val="20"/>
        </w:rPr>
        <w:t xml:space="preserve"> </w:t>
      </w:r>
      <w:r w:rsidR="00C05A78">
        <w:rPr>
          <w:sz w:val="20"/>
          <w:szCs w:val="20"/>
        </w:rPr>
        <w:t xml:space="preserve">letzten </w:t>
      </w:r>
      <w:r>
        <w:rPr>
          <w:sz w:val="20"/>
          <w:szCs w:val="20"/>
        </w:rPr>
        <w:t>Jahre begrenzt</w:t>
      </w:r>
      <w:r w:rsidR="00573D4B">
        <w:rPr>
          <w:sz w:val="20"/>
          <w:szCs w:val="20"/>
        </w:rPr>
        <w:t xml:space="preserve"> werden</w:t>
      </w:r>
      <w:r>
        <w:rPr>
          <w:sz w:val="20"/>
          <w:szCs w:val="20"/>
        </w:rPr>
        <w:t>, in denen auch die älteren</w:t>
      </w:r>
      <w:r w:rsidR="004D3BD1">
        <w:rPr>
          <w:sz w:val="20"/>
          <w:szCs w:val="20"/>
        </w:rPr>
        <w:t xml:space="preserve"> der aktuell noch relevanten</w:t>
      </w:r>
      <w:r>
        <w:rPr>
          <w:sz w:val="20"/>
          <w:szCs w:val="20"/>
        </w:rPr>
        <w:t xml:space="preserve"> Sorten schon im Datensatz enthalten sind. Da möglichst viele ‚Sortenbrücken‘ zwischen </w:t>
      </w:r>
      <w:r w:rsidR="0010773D">
        <w:rPr>
          <w:sz w:val="20"/>
          <w:szCs w:val="20"/>
        </w:rPr>
        <w:t>einzelnen</w:t>
      </w:r>
      <w:r>
        <w:rPr>
          <w:sz w:val="20"/>
          <w:szCs w:val="20"/>
        </w:rPr>
        <w:t xml:space="preserve"> Versuchen und Jahrgängen die Adjustierung fördern, sollte man eher etwas </w:t>
      </w:r>
      <w:r w:rsidR="00573D4B">
        <w:rPr>
          <w:sz w:val="20"/>
          <w:szCs w:val="20"/>
        </w:rPr>
        <w:t>mehr</w:t>
      </w:r>
      <w:r>
        <w:rPr>
          <w:sz w:val="20"/>
          <w:szCs w:val="20"/>
        </w:rPr>
        <w:t xml:space="preserve"> als zu wenige Jahre einbeziehen – </w:t>
      </w:r>
      <w:r w:rsidR="004D3BD1">
        <w:rPr>
          <w:sz w:val="20"/>
          <w:szCs w:val="20"/>
        </w:rPr>
        <w:t>bei den meisten Kulturarten sind die letzten</w:t>
      </w:r>
      <w:r>
        <w:rPr>
          <w:sz w:val="20"/>
          <w:szCs w:val="20"/>
        </w:rPr>
        <w:t xml:space="preserve"> 6 bis 7 Jahre </w:t>
      </w:r>
      <w:r w:rsidR="004D3BD1">
        <w:rPr>
          <w:sz w:val="20"/>
          <w:szCs w:val="20"/>
        </w:rPr>
        <w:t>eine sinnvolle Größenordnung</w:t>
      </w:r>
      <w:r w:rsidR="0010773D">
        <w:rPr>
          <w:sz w:val="20"/>
          <w:szCs w:val="20"/>
        </w:rPr>
        <w:t xml:space="preserve"> in MW</w:t>
      </w:r>
      <w:r>
        <w:rPr>
          <w:sz w:val="20"/>
          <w:szCs w:val="20"/>
        </w:rPr>
        <w:t>.</w:t>
      </w:r>
    </w:p>
    <w:p w:rsidR="0055209F" w:rsidRDefault="00E95FC8" w:rsidP="0055209F">
      <w:pPr>
        <w:spacing w:after="120" w:line="240" w:lineRule="auto"/>
        <w:jc w:val="both"/>
        <w:rPr>
          <w:rFonts w:eastAsiaTheme="minorEastAsia"/>
          <w:sz w:val="20"/>
        </w:rPr>
      </w:pPr>
      <w:r>
        <w:rPr>
          <w:sz w:val="20"/>
          <w:szCs w:val="20"/>
        </w:rPr>
        <w:t>Die Verfahren PHI und MW</w:t>
      </w:r>
      <w:r w:rsidR="0055209F">
        <w:rPr>
          <w:sz w:val="20"/>
          <w:szCs w:val="20"/>
        </w:rPr>
        <w:t xml:space="preserve"> sind umso nützlicher, je besser sie die Grundgesamtheit treffen – sie sollten also nicht auf die</w:t>
      </w:r>
      <w:r w:rsidR="00573D4B">
        <w:rPr>
          <w:sz w:val="20"/>
          <w:szCs w:val="20"/>
        </w:rPr>
        <w:t xml:space="preserve"> </w:t>
      </w:r>
      <w:r w:rsidR="00C05A78">
        <w:rPr>
          <w:sz w:val="20"/>
          <w:szCs w:val="20"/>
        </w:rPr>
        <w:t xml:space="preserve">u.U. </w:t>
      </w:r>
      <w:r w:rsidR="00573D4B">
        <w:rPr>
          <w:sz w:val="20"/>
          <w:szCs w:val="20"/>
        </w:rPr>
        <w:t>reduzierte Stichprobe der</w:t>
      </w:r>
      <w:r>
        <w:rPr>
          <w:sz w:val="20"/>
          <w:szCs w:val="20"/>
        </w:rPr>
        <w:t xml:space="preserve"> in MW</w:t>
      </w:r>
      <w:r w:rsidR="0055209F">
        <w:rPr>
          <w:sz w:val="20"/>
          <w:szCs w:val="20"/>
        </w:rPr>
        <w:t xml:space="preserve"> verwendeten Jahre begrenzt werden.</w:t>
      </w:r>
      <w:r w:rsidR="00573D4B">
        <w:rPr>
          <w:sz w:val="20"/>
          <w:szCs w:val="20"/>
        </w:rPr>
        <w:t xml:space="preserve"> Viele Jahre </w:t>
      </w:r>
      <w:r w:rsidR="004D3BD1">
        <w:rPr>
          <w:sz w:val="20"/>
          <w:szCs w:val="20"/>
        </w:rPr>
        <w:t>zu nutzen ist insofern b</w:t>
      </w:r>
      <w:r w:rsidR="00573D4B">
        <w:rPr>
          <w:sz w:val="20"/>
          <w:szCs w:val="20"/>
        </w:rPr>
        <w:t>esonders wichtig, als die Jahresvarianzen und die Interaktionen</w:t>
      </w:r>
      <w:r>
        <w:rPr>
          <w:sz w:val="20"/>
          <w:szCs w:val="20"/>
        </w:rPr>
        <w:t xml:space="preserve"> von Sorten</w:t>
      </w:r>
      <w:r w:rsidR="00573D4B">
        <w:rPr>
          <w:sz w:val="20"/>
          <w:szCs w:val="20"/>
        </w:rPr>
        <w:t xml:space="preserve"> mit Jahren </w:t>
      </w:r>
      <w:r w:rsidR="004D3BD1">
        <w:rPr>
          <w:sz w:val="20"/>
          <w:szCs w:val="20"/>
        </w:rPr>
        <w:t xml:space="preserve">i.d.R. </w:t>
      </w:r>
      <w:r w:rsidR="00573D4B">
        <w:rPr>
          <w:sz w:val="20"/>
          <w:szCs w:val="20"/>
        </w:rPr>
        <w:t xml:space="preserve">besonders </w:t>
      </w:r>
      <w:r w:rsidR="004D3BD1">
        <w:rPr>
          <w:sz w:val="20"/>
          <w:szCs w:val="20"/>
        </w:rPr>
        <w:t>groß sind</w:t>
      </w:r>
      <w:r w:rsidR="00573D4B">
        <w:rPr>
          <w:sz w:val="20"/>
          <w:szCs w:val="20"/>
        </w:rPr>
        <w:t>.</w:t>
      </w:r>
      <w:r w:rsidR="0055209F">
        <w:rPr>
          <w:sz w:val="20"/>
          <w:szCs w:val="20"/>
        </w:rPr>
        <w:t xml:space="preserve"> Sofern man viele Jahre im Datenbestand gepflegt hat, werden die Parameter (</w:t>
      </w:r>
      <m:oMath>
        <m:r>
          <w:rPr>
            <w:rFonts w:ascii="Cambria Math" w:hAnsi="Cambria Math" w:cs="Arial"/>
            <w:sz w:val="20"/>
          </w:rPr>
          <m:t>φ</m:t>
        </m:r>
      </m:oMath>
      <w:r w:rsidR="0055209F">
        <w:rPr>
          <w:rFonts w:eastAsiaTheme="minorEastAsia"/>
          <w:sz w:val="20"/>
        </w:rPr>
        <w:t xml:space="preserve"> und die </w:t>
      </w:r>
      <m:oMath>
        <m:r>
          <w:rPr>
            <w:rFonts w:ascii="Cambria Math" w:eastAsiaTheme="minorEastAsia" w:hAnsi="Cambria Math"/>
            <w:sz w:val="20"/>
          </w:rPr>
          <m:t>Varianz</m:t>
        </m:r>
        <m:r>
          <m:rPr>
            <m:sty m:val="p"/>
          </m:rPr>
          <w:rPr>
            <w:rFonts w:ascii="Cambria Math" w:eastAsiaTheme="minorEastAsia" w:hAnsi="Cambria Math"/>
            <w:sz w:val="20"/>
          </w:rPr>
          <w:softHyphen/>
        </m:r>
        <m:r>
          <w:rPr>
            <w:rFonts w:ascii="Cambria Math" w:eastAsiaTheme="minorEastAsia" w:hAnsi="Cambria Math"/>
            <w:sz w:val="20"/>
          </w:rPr>
          <m:t>-komponenten</m:t>
        </m:r>
      </m:oMath>
      <w:r w:rsidR="0055209F">
        <w:rPr>
          <w:rFonts w:eastAsiaTheme="minorEastAsia"/>
          <w:sz w:val="20"/>
        </w:rPr>
        <w:t xml:space="preserve">) </w:t>
      </w:r>
      <w:r w:rsidR="00573D4B">
        <w:rPr>
          <w:rFonts w:eastAsiaTheme="minorEastAsia"/>
          <w:sz w:val="20"/>
        </w:rPr>
        <w:t>mit</w:t>
      </w:r>
      <w:r w:rsidR="0055209F">
        <w:rPr>
          <w:rFonts w:eastAsiaTheme="minorEastAsia"/>
          <w:sz w:val="20"/>
        </w:rPr>
        <w:t xml:space="preserve"> ca. 12 </w:t>
      </w:r>
      <w:r w:rsidR="00573D4B">
        <w:rPr>
          <w:rFonts w:eastAsiaTheme="minorEastAsia"/>
          <w:sz w:val="20"/>
        </w:rPr>
        <w:t xml:space="preserve">einbezogenen </w:t>
      </w:r>
      <w:r w:rsidR="0055209F">
        <w:rPr>
          <w:rFonts w:eastAsiaTheme="minorEastAsia"/>
          <w:sz w:val="20"/>
        </w:rPr>
        <w:t>Jahre</w:t>
      </w:r>
      <w:r w:rsidR="00573D4B">
        <w:rPr>
          <w:rFonts w:eastAsiaTheme="minorEastAsia"/>
          <w:sz w:val="20"/>
        </w:rPr>
        <w:t>n</w:t>
      </w:r>
      <w:r w:rsidR="0055209F">
        <w:rPr>
          <w:rFonts w:eastAsiaTheme="minorEastAsia"/>
          <w:sz w:val="20"/>
        </w:rPr>
        <w:t xml:space="preserve"> i.d.R. sehr gut und stabil geschätzt.</w:t>
      </w:r>
      <w:r w:rsidR="00573D4B">
        <w:rPr>
          <w:rFonts w:eastAsiaTheme="minorEastAsia"/>
          <w:sz w:val="20"/>
        </w:rPr>
        <w:t xml:space="preserve"> Mit so langen</w:t>
      </w:r>
      <w:r>
        <w:rPr>
          <w:rFonts w:eastAsiaTheme="minorEastAsia"/>
          <w:sz w:val="20"/>
        </w:rPr>
        <w:t xml:space="preserve"> Datenbeständen kann man daher MW</w:t>
      </w:r>
      <w:r w:rsidR="00573D4B">
        <w:rPr>
          <w:rFonts w:eastAsiaTheme="minorEastAsia"/>
          <w:sz w:val="20"/>
        </w:rPr>
        <w:t xml:space="preserve"> auch mal mit den </w:t>
      </w:r>
      <w:r w:rsidR="00573D4B">
        <w:rPr>
          <w:sz w:val="20"/>
          <w:szCs w:val="20"/>
        </w:rPr>
        <w:t>Parametern</w:t>
      </w:r>
      <w:r>
        <w:rPr>
          <w:sz w:val="20"/>
          <w:szCs w:val="20"/>
        </w:rPr>
        <w:t xml:space="preserve"> aus PHI und VK</w:t>
      </w:r>
      <w:r w:rsidR="00573D4B">
        <w:rPr>
          <w:rFonts w:eastAsiaTheme="minorEastAsia"/>
          <w:sz w:val="20"/>
        </w:rPr>
        <w:t xml:space="preserve"> einer vorherigen A</w:t>
      </w:r>
      <w:r w:rsidR="004D3BD1">
        <w:rPr>
          <w:rFonts w:eastAsiaTheme="minorEastAsia"/>
          <w:sz w:val="20"/>
        </w:rPr>
        <w:t xml:space="preserve">uswertung ablaufen lassen, </w:t>
      </w:r>
      <w:r>
        <w:rPr>
          <w:rFonts w:eastAsiaTheme="minorEastAsia"/>
          <w:sz w:val="20"/>
        </w:rPr>
        <w:t>z.B.,</w:t>
      </w:r>
      <w:r w:rsidR="004D3BD1">
        <w:rPr>
          <w:rFonts w:eastAsiaTheme="minorEastAsia"/>
          <w:sz w:val="20"/>
        </w:rPr>
        <w:t xml:space="preserve"> </w:t>
      </w:r>
      <w:r w:rsidR="00573D4B">
        <w:rPr>
          <w:rFonts w:eastAsiaTheme="minorEastAsia"/>
          <w:sz w:val="20"/>
        </w:rPr>
        <w:t xml:space="preserve">wenn </w:t>
      </w:r>
      <w:r w:rsidR="004D3BD1">
        <w:rPr>
          <w:rFonts w:eastAsiaTheme="minorEastAsia"/>
          <w:sz w:val="20"/>
        </w:rPr>
        <w:t xml:space="preserve">bei Winterungen eine möglichst </w:t>
      </w:r>
      <w:r w:rsidR="00C05A78">
        <w:rPr>
          <w:rFonts w:eastAsiaTheme="minorEastAsia"/>
          <w:sz w:val="20"/>
        </w:rPr>
        <w:t>schnelle</w:t>
      </w:r>
      <w:r w:rsidR="004D3BD1">
        <w:rPr>
          <w:rFonts w:eastAsiaTheme="minorEastAsia"/>
          <w:sz w:val="20"/>
        </w:rPr>
        <w:t xml:space="preserve"> Neuempfehlung schon nach der </w:t>
      </w:r>
      <w:r w:rsidR="00C05A78">
        <w:rPr>
          <w:rFonts w:eastAsiaTheme="minorEastAsia"/>
          <w:sz w:val="20"/>
        </w:rPr>
        <w:t>aktuellen</w:t>
      </w:r>
      <w:r w:rsidR="004D3BD1">
        <w:rPr>
          <w:rFonts w:eastAsiaTheme="minorEastAsia"/>
          <w:sz w:val="20"/>
        </w:rPr>
        <w:t xml:space="preserve"> Ernte ansteht</w:t>
      </w:r>
      <w:r>
        <w:rPr>
          <w:rFonts w:eastAsiaTheme="minorEastAsia"/>
          <w:sz w:val="20"/>
        </w:rPr>
        <w:t xml:space="preserve"> und die Auswertungsaufwand verkürzt werden soll</w:t>
      </w:r>
      <w:r w:rsidR="00573D4B">
        <w:rPr>
          <w:rFonts w:eastAsiaTheme="minorEastAsia"/>
          <w:sz w:val="20"/>
        </w:rPr>
        <w:t>.</w:t>
      </w:r>
    </w:p>
    <w:p w:rsidR="00FB6FC0" w:rsidRDefault="00FB6FC0" w:rsidP="0055209F">
      <w:pPr>
        <w:spacing w:after="120" w:line="240" w:lineRule="auto"/>
        <w:jc w:val="both"/>
        <w:rPr>
          <w:rFonts w:eastAsiaTheme="minorEastAsia"/>
          <w:sz w:val="20"/>
        </w:rPr>
      </w:pPr>
    </w:p>
    <w:p w:rsidR="00FB6FC0" w:rsidRDefault="00FB6FC0" w:rsidP="0055209F">
      <w:pPr>
        <w:spacing w:after="120" w:line="240" w:lineRule="auto"/>
        <w:jc w:val="both"/>
        <w:rPr>
          <w:rFonts w:eastAsiaTheme="minorEastAsia"/>
          <w:sz w:val="20"/>
        </w:rPr>
      </w:pPr>
    </w:p>
    <w:p w:rsidR="005C2A06" w:rsidRPr="005C2A06" w:rsidRDefault="005C2A06" w:rsidP="005C2A06">
      <w:pPr>
        <w:pStyle w:val="Listenabsatz"/>
        <w:numPr>
          <w:ilvl w:val="0"/>
          <w:numId w:val="6"/>
        </w:numPr>
        <w:spacing w:after="120" w:line="240" w:lineRule="auto"/>
        <w:jc w:val="both"/>
        <w:rPr>
          <w:b/>
        </w:rPr>
      </w:pPr>
      <w:r w:rsidRPr="005C2A06">
        <w:rPr>
          <w:b/>
        </w:rPr>
        <w:t>DAT</w:t>
      </w:r>
    </w:p>
    <w:p w:rsidR="005C2A06" w:rsidRDefault="005C2A06" w:rsidP="005C2A06">
      <w:pPr>
        <w:spacing w:after="120" w:line="240" w:lineRule="auto"/>
        <w:jc w:val="both"/>
        <w:rPr>
          <w:rFonts w:eastAsiaTheme="minorEastAsia"/>
          <w:sz w:val="20"/>
        </w:rPr>
      </w:pPr>
      <w:r>
        <w:rPr>
          <w:rFonts w:eastAsiaTheme="minorEastAsia"/>
          <w:sz w:val="20"/>
        </w:rPr>
        <w:t xml:space="preserve">Für sehr langjährige überregionale Auswertungsserien wird die Harmonisierung in PIAF zunehmend komplex und kompliziert, und die Ausgabe einer Serien-ADS für die HGM ist zeitaufwändig. Daher lesen einige Nutzer die älteren Daten aus und legen sie z.B. als externe Excel-Datei ab. </w:t>
      </w:r>
      <w:r w:rsidRPr="00F80F41">
        <w:rPr>
          <w:rFonts w:eastAsiaTheme="minorEastAsia"/>
          <w:sz w:val="20"/>
        </w:rPr>
        <w:t>DAT liest Daten aus einer Serien-ADS und speichert sie in einer *.xlsx-Datei („externe Daten“) so ab, dass sie von den Hohenheim-Gülzower-Verfahren unbearbeitet weiterverwendet werden kann.</w:t>
      </w:r>
      <w:r>
        <w:rPr>
          <w:rFonts w:eastAsiaTheme="minorEastAsia"/>
          <w:sz w:val="20"/>
        </w:rPr>
        <w:t xml:space="preserve"> Eine Harmonisierung ist dann u.U. nur noch jährlich für die einjährigen neuen Versuche nötig, was sehr unkompliziert ist. In den drei Kernverfahren kann man dann entscheiden, ob nur eine ADS eingelesen wird oder nur eine externe Excel-Datei oder ob eine ADS mit einer externen Excel-Datei kombiniert wird.</w:t>
      </w:r>
    </w:p>
    <w:p w:rsidR="005C2A06" w:rsidRDefault="005C2A06" w:rsidP="005C2A06">
      <w:pPr>
        <w:spacing w:after="120" w:line="240" w:lineRule="auto"/>
        <w:jc w:val="both"/>
        <w:rPr>
          <w:rFonts w:eastAsiaTheme="minorEastAsia"/>
          <w:sz w:val="20"/>
        </w:rPr>
      </w:pPr>
    </w:p>
    <w:p w:rsidR="005C2A06" w:rsidRDefault="005C2A06" w:rsidP="005C2A06">
      <w:pPr>
        <w:spacing w:after="120" w:line="240" w:lineRule="auto"/>
        <w:jc w:val="both"/>
        <w:rPr>
          <w:rFonts w:eastAsiaTheme="minorEastAsia"/>
          <w:sz w:val="20"/>
        </w:rPr>
      </w:pPr>
    </w:p>
    <w:p w:rsidR="005C2A06" w:rsidRDefault="005C2A06" w:rsidP="005C2A06">
      <w:pPr>
        <w:spacing w:after="120" w:line="240" w:lineRule="auto"/>
        <w:jc w:val="both"/>
        <w:rPr>
          <w:rFonts w:eastAsiaTheme="minorEastAsia"/>
          <w:sz w:val="20"/>
        </w:rPr>
      </w:pPr>
    </w:p>
    <w:p w:rsidR="005C2A06" w:rsidRPr="00F80F41" w:rsidRDefault="005C2A06" w:rsidP="005C2A06">
      <w:pPr>
        <w:pStyle w:val="Listenabsatz"/>
        <w:numPr>
          <w:ilvl w:val="0"/>
          <w:numId w:val="6"/>
        </w:numPr>
        <w:spacing w:after="120" w:line="240" w:lineRule="auto"/>
        <w:jc w:val="both"/>
        <w:rPr>
          <w:b/>
        </w:rPr>
      </w:pPr>
      <w:r>
        <w:rPr>
          <w:b/>
        </w:rPr>
        <w:t>Ergänzende Excel-Tabellen</w:t>
      </w:r>
    </w:p>
    <w:p w:rsidR="005C2A06" w:rsidRPr="005C2A06" w:rsidRDefault="005C2A06" w:rsidP="005C2A06">
      <w:pPr>
        <w:spacing w:after="120" w:line="240" w:lineRule="auto"/>
        <w:jc w:val="both"/>
        <w:rPr>
          <w:rFonts w:eastAsiaTheme="minorEastAsia"/>
          <w:sz w:val="20"/>
        </w:rPr>
      </w:pPr>
      <w:r w:rsidRPr="005C2A06">
        <w:rPr>
          <w:rFonts w:eastAsiaTheme="minorEastAsia"/>
          <w:sz w:val="20"/>
        </w:rPr>
        <w:t>In den HGM-Verfahren können ergänzende Informationen genutzt werden, um die Schätzungen oder die Outputs zu verbessern. Sie müssen in Excel-Tabellen mit einer bestimmten Struktur. Deshalb werden mit den HGM-Verfahren Beispiel-Dateien als Templates mit heruntergeladen:</w:t>
      </w:r>
    </w:p>
    <w:p w:rsidR="005C2A06" w:rsidRPr="005C2A06" w:rsidRDefault="005C2A06" w:rsidP="005C2A06">
      <w:pPr>
        <w:spacing w:after="120" w:line="240" w:lineRule="auto"/>
        <w:jc w:val="both"/>
        <w:rPr>
          <w:rFonts w:eastAsiaTheme="minorEastAsia"/>
          <w:sz w:val="20"/>
        </w:rPr>
      </w:pPr>
      <w:r w:rsidRPr="005C2A06">
        <w:rPr>
          <w:rFonts w:eastAsiaTheme="minorEastAsia"/>
          <w:sz w:val="20"/>
        </w:rPr>
        <w:t>daten.xlsx</w:t>
      </w:r>
      <w:r w:rsidRPr="005C2A06">
        <w:rPr>
          <w:rFonts w:eastAsiaTheme="minorEastAsia"/>
          <w:sz w:val="20"/>
        </w:rPr>
        <w:tab/>
        <w:t>Statt Daten aus einer ADS einzulesen, können externe Daten genutzt werden.</w:t>
      </w:r>
    </w:p>
    <w:p w:rsidR="005C2A06" w:rsidRPr="005C2A06" w:rsidRDefault="005C2A06" w:rsidP="005C2A06">
      <w:pPr>
        <w:spacing w:after="0" w:line="240" w:lineRule="auto"/>
        <w:jc w:val="both"/>
        <w:rPr>
          <w:rFonts w:eastAsiaTheme="minorEastAsia"/>
          <w:sz w:val="20"/>
        </w:rPr>
      </w:pPr>
      <w:r w:rsidRPr="005C2A06">
        <w:rPr>
          <w:rFonts w:eastAsiaTheme="minorEastAsia"/>
          <w:sz w:val="20"/>
        </w:rPr>
        <w:t>gruppen.xlsx</w:t>
      </w:r>
      <w:r w:rsidRPr="005C2A06">
        <w:rPr>
          <w:rFonts w:eastAsiaTheme="minorEastAsia"/>
          <w:sz w:val="20"/>
        </w:rPr>
        <w:tab/>
        <w:t>Zuordnung von Sorten zu Gruppen; nur bei Differenzierung in Regionen relevant;</w:t>
      </w:r>
    </w:p>
    <w:p w:rsidR="005C2A06" w:rsidRPr="005C2A06" w:rsidRDefault="005C2A06" w:rsidP="005C2A06">
      <w:pPr>
        <w:spacing w:after="0" w:line="240" w:lineRule="auto"/>
        <w:ind w:left="1418"/>
        <w:jc w:val="both"/>
        <w:rPr>
          <w:rFonts w:eastAsiaTheme="minorEastAsia"/>
          <w:sz w:val="20"/>
        </w:rPr>
      </w:pPr>
      <w:r w:rsidRPr="005C2A06">
        <w:rPr>
          <w:rFonts w:eastAsiaTheme="minorEastAsia"/>
          <w:sz w:val="20"/>
        </w:rPr>
        <w:t>nur sinnvoll, wenn die Gruppen im Auswertungsmerkmal nicht ohne weiteres vergleichbar sind (z.B. Protein zwischen E- und C-Weizen);</w:t>
      </w:r>
    </w:p>
    <w:p w:rsidR="005C2A06" w:rsidRPr="005C2A06" w:rsidRDefault="005C2A06" w:rsidP="005C2A06">
      <w:pPr>
        <w:spacing w:after="120" w:line="240" w:lineRule="auto"/>
        <w:ind w:left="1416"/>
        <w:jc w:val="both"/>
        <w:rPr>
          <w:rFonts w:eastAsiaTheme="minorEastAsia"/>
          <w:sz w:val="20"/>
        </w:rPr>
      </w:pPr>
      <w:r w:rsidRPr="005C2A06">
        <w:rPr>
          <w:rFonts w:eastAsiaTheme="minorEastAsia"/>
          <w:sz w:val="20"/>
        </w:rPr>
        <w:t>soll überhöhte Gewichtung von Nachbargebieten vermeiden</w:t>
      </w:r>
    </w:p>
    <w:p w:rsidR="005C2A06" w:rsidRPr="005C2A06" w:rsidRDefault="005C2A06" w:rsidP="005C2A06">
      <w:pPr>
        <w:spacing w:after="0" w:line="240" w:lineRule="auto"/>
        <w:jc w:val="both"/>
        <w:rPr>
          <w:rFonts w:eastAsiaTheme="minorEastAsia"/>
          <w:sz w:val="20"/>
        </w:rPr>
      </w:pPr>
      <w:r w:rsidRPr="005C2A06">
        <w:rPr>
          <w:rFonts w:eastAsiaTheme="minorEastAsia"/>
          <w:sz w:val="20"/>
        </w:rPr>
        <w:t>phistart.xlsx</w:t>
      </w:r>
      <w:r w:rsidRPr="005C2A06">
        <w:rPr>
          <w:rFonts w:eastAsiaTheme="minorEastAsia"/>
          <w:sz w:val="20"/>
        </w:rPr>
        <w:tab/>
        <w:t xml:space="preserve">Sofern für die Merkmale Vorkenntnisse zum Transformationsparameter phi vorliegen, kann die </w:t>
      </w:r>
    </w:p>
    <w:p w:rsidR="005C2A06" w:rsidRPr="005C2A06" w:rsidRDefault="005C2A06" w:rsidP="005C2A06">
      <w:pPr>
        <w:spacing w:after="120" w:line="240" w:lineRule="auto"/>
        <w:ind w:left="1416"/>
        <w:jc w:val="both"/>
        <w:rPr>
          <w:rFonts w:eastAsiaTheme="minorEastAsia"/>
          <w:sz w:val="20"/>
        </w:rPr>
      </w:pPr>
      <w:r w:rsidRPr="005C2A06">
        <w:rPr>
          <w:rFonts w:eastAsiaTheme="minorEastAsia"/>
          <w:sz w:val="20"/>
        </w:rPr>
        <w:t>Vorgabe nahegelegener Startwerte das Verfahren PHI beschleunigen.</w:t>
      </w:r>
    </w:p>
    <w:p w:rsidR="005C2A06" w:rsidRPr="005C2A06" w:rsidRDefault="005C2A06" w:rsidP="005C2A06">
      <w:pPr>
        <w:spacing w:after="120" w:line="240" w:lineRule="auto"/>
        <w:jc w:val="both"/>
        <w:rPr>
          <w:rFonts w:eastAsiaTheme="minorEastAsia"/>
          <w:sz w:val="20"/>
        </w:rPr>
      </w:pPr>
      <w:r w:rsidRPr="005C2A06">
        <w:rPr>
          <w:rFonts w:eastAsiaTheme="minorEastAsia"/>
          <w:sz w:val="20"/>
        </w:rPr>
        <w:t>reg.xlsx</w:t>
      </w:r>
      <w:r w:rsidRPr="005C2A06">
        <w:rPr>
          <w:rFonts w:eastAsiaTheme="minorEastAsia"/>
          <w:sz w:val="20"/>
        </w:rPr>
        <w:tab/>
      </w:r>
      <w:r w:rsidRPr="005C2A06">
        <w:rPr>
          <w:rFonts w:eastAsiaTheme="minorEastAsia"/>
          <w:sz w:val="20"/>
        </w:rPr>
        <w:tab/>
        <w:t>Zuordnung von BKR zu Anbaugebieten; nur bei Differenzierung in Regionen relevant</w:t>
      </w:r>
    </w:p>
    <w:p w:rsidR="005C2A06" w:rsidRPr="005C2A06" w:rsidRDefault="005C2A06" w:rsidP="005C2A06">
      <w:pPr>
        <w:spacing w:after="0" w:line="240" w:lineRule="auto"/>
        <w:jc w:val="both"/>
        <w:rPr>
          <w:rFonts w:eastAsiaTheme="minorEastAsia"/>
          <w:sz w:val="20"/>
        </w:rPr>
      </w:pPr>
      <w:r w:rsidRPr="005C2A06">
        <w:rPr>
          <w:rFonts w:eastAsiaTheme="minorEastAsia"/>
          <w:sz w:val="20"/>
        </w:rPr>
        <w:t>reglim.xlsx</w:t>
      </w:r>
      <w:r w:rsidRPr="005C2A06">
        <w:rPr>
          <w:rFonts w:eastAsiaTheme="minorEastAsia"/>
          <w:sz w:val="20"/>
        </w:rPr>
        <w:tab/>
        <w:t xml:space="preserve">Wenn eine Reihe von Anbaugebieten gemeinsam ausgewertet wird, die jeweils definierten </w:t>
      </w:r>
    </w:p>
    <w:p w:rsidR="005C2A06" w:rsidRPr="005C2A06" w:rsidRDefault="005C2A06" w:rsidP="005C2A06">
      <w:pPr>
        <w:spacing w:after="120" w:line="240" w:lineRule="auto"/>
        <w:ind w:left="1416"/>
        <w:jc w:val="both"/>
        <w:rPr>
          <w:rFonts w:eastAsiaTheme="minorEastAsia"/>
          <w:sz w:val="20"/>
        </w:rPr>
      </w:pPr>
      <w:r w:rsidRPr="005C2A06">
        <w:rPr>
          <w:rFonts w:eastAsiaTheme="minorEastAsia"/>
          <w:sz w:val="20"/>
        </w:rPr>
        <w:t>Zielgebiete aber nur eine Teilmenge der anderen als Nachbargebiet nutzen sollen, so wird dies in dieser Datei definiert. Der Ablauf von VK und mehrerer MW-Runs ist damit effizienter.</w:t>
      </w:r>
    </w:p>
    <w:p w:rsidR="005C2A06" w:rsidRPr="005C2A06" w:rsidRDefault="005C2A06" w:rsidP="005C2A06">
      <w:pPr>
        <w:spacing w:after="0" w:line="240" w:lineRule="auto"/>
        <w:jc w:val="both"/>
        <w:rPr>
          <w:rFonts w:eastAsiaTheme="minorEastAsia"/>
          <w:sz w:val="20"/>
        </w:rPr>
      </w:pPr>
      <w:r w:rsidRPr="005C2A06">
        <w:rPr>
          <w:rFonts w:eastAsiaTheme="minorEastAsia"/>
          <w:sz w:val="20"/>
        </w:rPr>
        <w:t>sorti.xlsx</w:t>
      </w:r>
      <w:r w:rsidRPr="005C2A06">
        <w:rPr>
          <w:rFonts w:eastAsiaTheme="minorEastAsia"/>
          <w:sz w:val="20"/>
        </w:rPr>
        <w:tab/>
        <w:t>Enthält für ausgewählte Sorten die Vorgabe der gewünschten Sortierreihenfolge bei der</w:t>
      </w:r>
    </w:p>
    <w:p w:rsidR="005C2A06" w:rsidRPr="005C2A06" w:rsidRDefault="005C2A06" w:rsidP="005C2A06">
      <w:pPr>
        <w:spacing w:after="0" w:line="240" w:lineRule="auto"/>
        <w:ind w:left="1416"/>
        <w:jc w:val="both"/>
        <w:rPr>
          <w:rFonts w:eastAsiaTheme="minorEastAsia"/>
          <w:sz w:val="20"/>
        </w:rPr>
      </w:pPr>
      <w:r w:rsidRPr="005C2A06">
        <w:rPr>
          <w:rFonts w:eastAsiaTheme="minorEastAsia"/>
          <w:sz w:val="20"/>
        </w:rPr>
        <w:t xml:space="preserve">Mittelwertausgabe. Zudem kann festgelegt werden, dass für diese Sortenauswahl eine Schätzung und Ausgabe auch dann erfolgt, wenn sie nicht die ansonsten vorgegebene Mindestanzahl an Versuchsdaten erfüllt. </w:t>
      </w:r>
    </w:p>
    <w:p w:rsidR="005C2A06" w:rsidRDefault="005C2A06" w:rsidP="0055209F">
      <w:pPr>
        <w:spacing w:after="120" w:line="240" w:lineRule="auto"/>
        <w:jc w:val="both"/>
        <w:rPr>
          <w:rFonts w:eastAsiaTheme="minorEastAsia"/>
          <w:sz w:val="20"/>
        </w:rPr>
      </w:pPr>
    </w:p>
    <w:sectPr w:rsidR="005C2A0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436B8"/>
    <w:multiLevelType w:val="hybridMultilevel"/>
    <w:tmpl w:val="68D053A0"/>
    <w:lvl w:ilvl="0" w:tplc="04070001">
      <w:start w:val="1"/>
      <w:numFmt w:val="bullet"/>
      <w:lvlText w:val=""/>
      <w:lvlJc w:val="left"/>
      <w:pPr>
        <w:tabs>
          <w:tab w:val="num" w:pos="360"/>
        </w:tabs>
        <w:ind w:left="360" w:hanging="360"/>
      </w:pPr>
      <w:rPr>
        <w:rFonts w:ascii="Symbol" w:hAnsi="Symbol" w:hint="default"/>
      </w:rPr>
    </w:lvl>
    <w:lvl w:ilvl="1" w:tplc="2E8033DE">
      <w:start w:val="1"/>
      <w:numFmt w:val="bullet"/>
      <w:lvlText w:val="-"/>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8834740"/>
    <w:multiLevelType w:val="hybridMultilevel"/>
    <w:tmpl w:val="4484E280"/>
    <w:lvl w:ilvl="0" w:tplc="0407000B">
      <w:start w:val="1"/>
      <w:numFmt w:val="bullet"/>
      <w:lvlText w:val=""/>
      <w:lvlJc w:val="left"/>
      <w:pPr>
        <w:ind w:left="793" w:hanging="360"/>
      </w:pPr>
      <w:rPr>
        <w:rFonts w:ascii="Wingdings" w:hAnsi="Wingdings" w:hint="default"/>
      </w:rPr>
    </w:lvl>
    <w:lvl w:ilvl="1" w:tplc="04070003" w:tentative="1">
      <w:start w:val="1"/>
      <w:numFmt w:val="bullet"/>
      <w:lvlText w:val="o"/>
      <w:lvlJc w:val="left"/>
      <w:pPr>
        <w:ind w:left="1513" w:hanging="360"/>
      </w:pPr>
      <w:rPr>
        <w:rFonts w:ascii="Courier New" w:hAnsi="Courier New" w:cs="Courier New" w:hint="default"/>
      </w:rPr>
    </w:lvl>
    <w:lvl w:ilvl="2" w:tplc="04070005" w:tentative="1">
      <w:start w:val="1"/>
      <w:numFmt w:val="bullet"/>
      <w:lvlText w:val=""/>
      <w:lvlJc w:val="left"/>
      <w:pPr>
        <w:ind w:left="2233" w:hanging="360"/>
      </w:pPr>
      <w:rPr>
        <w:rFonts w:ascii="Wingdings" w:hAnsi="Wingdings" w:hint="default"/>
      </w:rPr>
    </w:lvl>
    <w:lvl w:ilvl="3" w:tplc="04070001" w:tentative="1">
      <w:start w:val="1"/>
      <w:numFmt w:val="bullet"/>
      <w:lvlText w:val=""/>
      <w:lvlJc w:val="left"/>
      <w:pPr>
        <w:ind w:left="2953" w:hanging="360"/>
      </w:pPr>
      <w:rPr>
        <w:rFonts w:ascii="Symbol" w:hAnsi="Symbol" w:hint="default"/>
      </w:rPr>
    </w:lvl>
    <w:lvl w:ilvl="4" w:tplc="04070003" w:tentative="1">
      <w:start w:val="1"/>
      <w:numFmt w:val="bullet"/>
      <w:lvlText w:val="o"/>
      <w:lvlJc w:val="left"/>
      <w:pPr>
        <w:ind w:left="3673" w:hanging="360"/>
      </w:pPr>
      <w:rPr>
        <w:rFonts w:ascii="Courier New" w:hAnsi="Courier New" w:cs="Courier New" w:hint="default"/>
      </w:rPr>
    </w:lvl>
    <w:lvl w:ilvl="5" w:tplc="04070005" w:tentative="1">
      <w:start w:val="1"/>
      <w:numFmt w:val="bullet"/>
      <w:lvlText w:val=""/>
      <w:lvlJc w:val="left"/>
      <w:pPr>
        <w:ind w:left="4393" w:hanging="360"/>
      </w:pPr>
      <w:rPr>
        <w:rFonts w:ascii="Wingdings" w:hAnsi="Wingdings" w:hint="default"/>
      </w:rPr>
    </w:lvl>
    <w:lvl w:ilvl="6" w:tplc="04070001" w:tentative="1">
      <w:start w:val="1"/>
      <w:numFmt w:val="bullet"/>
      <w:lvlText w:val=""/>
      <w:lvlJc w:val="left"/>
      <w:pPr>
        <w:ind w:left="5113" w:hanging="360"/>
      </w:pPr>
      <w:rPr>
        <w:rFonts w:ascii="Symbol" w:hAnsi="Symbol" w:hint="default"/>
      </w:rPr>
    </w:lvl>
    <w:lvl w:ilvl="7" w:tplc="04070003" w:tentative="1">
      <w:start w:val="1"/>
      <w:numFmt w:val="bullet"/>
      <w:lvlText w:val="o"/>
      <w:lvlJc w:val="left"/>
      <w:pPr>
        <w:ind w:left="5833" w:hanging="360"/>
      </w:pPr>
      <w:rPr>
        <w:rFonts w:ascii="Courier New" w:hAnsi="Courier New" w:cs="Courier New" w:hint="default"/>
      </w:rPr>
    </w:lvl>
    <w:lvl w:ilvl="8" w:tplc="04070005" w:tentative="1">
      <w:start w:val="1"/>
      <w:numFmt w:val="bullet"/>
      <w:lvlText w:val=""/>
      <w:lvlJc w:val="left"/>
      <w:pPr>
        <w:ind w:left="6553" w:hanging="360"/>
      </w:pPr>
      <w:rPr>
        <w:rFonts w:ascii="Wingdings" w:hAnsi="Wingdings" w:hint="default"/>
      </w:rPr>
    </w:lvl>
  </w:abstractNum>
  <w:abstractNum w:abstractNumId="2" w15:restartNumberingAfterBreak="0">
    <w:nsid w:val="0A477779"/>
    <w:multiLevelType w:val="hybridMultilevel"/>
    <w:tmpl w:val="6204D1B0"/>
    <w:lvl w:ilvl="0" w:tplc="0407000D">
      <w:start w:val="1"/>
      <w:numFmt w:val="bullet"/>
      <w:lvlText w:val=""/>
      <w:lvlJc w:val="left"/>
      <w:pPr>
        <w:ind w:left="793" w:hanging="360"/>
      </w:pPr>
      <w:rPr>
        <w:rFonts w:ascii="Wingdings" w:hAnsi="Wingdings" w:hint="default"/>
      </w:rPr>
    </w:lvl>
    <w:lvl w:ilvl="1" w:tplc="04070003" w:tentative="1">
      <w:start w:val="1"/>
      <w:numFmt w:val="bullet"/>
      <w:lvlText w:val="o"/>
      <w:lvlJc w:val="left"/>
      <w:pPr>
        <w:ind w:left="1513" w:hanging="360"/>
      </w:pPr>
      <w:rPr>
        <w:rFonts w:ascii="Courier New" w:hAnsi="Courier New" w:cs="Courier New" w:hint="default"/>
      </w:rPr>
    </w:lvl>
    <w:lvl w:ilvl="2" w:tplc="04070005" w:tentative="1">
      <w:start w:val="1"/>
      <w:numFmt w:val="bullet"/>
      <w:lvlText w:val=""/>
      <w:lvlJc w:val="left"/>
      <w:pPr>
        <w:ind w:left="2233" w:hanging="360"/>
      </w:pPr>
      <w:rPr>
        <w:rFonts w:ascii="Wingdings" w:hAnsi="Wingdings" w:hint="default"/>
      </w:rPr>
    </w:lvl>
    <w:lvl w:ilvl="3" w:tplc="04070001" w:tentative="1">
      <w:start w:val="1"/>
      <w:numFmt w:val="bullet"/>
      <w:lvlText w:val=""/>
      <w:lvlJc w:val="left"/>
      <w:pPr>
        <w:ind w:left="2953" w:hanging="360"/>
      </w:pPr>
      <w:rPr>
        <w:rFonts w:ascii="Symbol" w:hAnsi="Symbol" w:hint="default"/>
      </w:rPr>
    </w:lvl>
    <w:lvl w:ilvl="4" w:tplc="04070003" w:tentative="1">
      <w:start w:val="1"/>
      <w:numFmt w:val="bullet"/>
      <w:lvlText w:val="o"/>
      <w:lvlJc w:val="left"/>
      <w:pPr>
        <w:ind w:left="3673" w:hanging="360"/>
      </w:pPr>
      <w:rPr>
        <w:rFonts w:ascii="Courier New" w:hAnsi="Courier New" w:cs="Courier New" w:hint="default"/>
      </w:rPr>
    </w:lvl>
    <w:lvl w:ilvl="5" w:tplc="04070005" w:tentative="1">
      <w:start w:val="1"/>
      <w:numFmt w:val="bullet"/>
      <w:lvlText w:val=""/>
      <w:lvlJc w:val="left"/>
      <w:pPr>
        <w:ind w:left="4393" w:hanging="360"/>
      </w:pPr>
      <w:rPr>
        <w:rFonts w:ascii="Wingdings" w:hAnsi="Wingdings" w:hint="default"/>
      </w:rPr>
    </w:lvl>
    <w:lvl w:ilvl="6" w:tplc="04070001" w:tentative="1">
      <w:start w:val="1"/>
      <w:numFmt w:val="bullet"/>
      <w:lvlText w:val=""/>
      <w:lvlJc w:val="left"/>
      <w:pPr>
        <w:ind w:left="5113" w:hanging="360"/>
      </w:pPr>
      <w:rPr>
        <w:rFonts w:ascii="Symbol" w:hAnsi="Symbol" w:hint="default"/>
      </w:rPr>
    </w:lvl>
    <w:lvl w:ilvl="7" w:tplc="04070003" w:tentative="1">
      <w:start w:val="1"/>
      <w:numFmt w:val="bullet"/>
      <w:lvlText w:val="o"/>
      <w:lvlJc w:val="left"/>
      <w:pPr>
        <w:ind w:left="5833" w:hanging="360"/>
      </w:pPr>
      <w:rPr>
        <w:rFonts w:ascii="Courier New" w:hAnsi="Courier New" w:cs="Courier New" w:hint="default"/>
      </w:rPr>
    </w:lvl>
    <w:lvl w:ilvl="8" w:tplc="04070005" w:tentative="1">
      <w:start w:val="1"/>
      <w:numFmt w:val="bullet"/>
      <w:lvlText w:val=""/>
      <w:lvlJc w:val="left"/>
      <w:pPr>
        <w:ind w:left="6553" w:hanging="360"/>
      </w:pPr>
      <w:rPr>
        <w:rFonts w:ascii="Wingdings" w:hAnsi="Wingdings" w:hint="default"/>
      </w:rPr>
    </w:lvl>
  </w:abstractNum>
  <w:abstractNum w:abstractNumId="3" w15:restartNumberingAfterBreak="0">
    <w:nsid w:val="15BF7F95"/>
    <w:multiLevelType w:val="hybridMultilevel"/>
    <w:tmpl w:val="7E88A65C"/>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4" w15:restartNumberingAfterBreak="0">
    <w:nsid w:val="16DF1211"/>
    <w:multiLevelType w:val="hybridMultilevel"/>
    <w:tmpl w:val="A776027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911208"/>
    <w:multiLevelType w:val="hybridMultilevel"/>
    <w:tmpl w:val="C412994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7B60F9"/>
    <w:multiLevelType w:val="hybridMultilevel"/>
    <w:tmpl w:val="3904CAB6"/>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1E22B3"/>
    <w:multiLevelType w:val="hybridMultilevel"/>
    <w:tmpl w:val="DB200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895FA3"/>
    <w:multiLevelType w:val="hybridMultilevel"/>
    <w:tmpl w:val="119CC918"/>
    <w:lvl w:ilvl="0" w:tplc="0407000F">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BDC304F"/>
    <w:multiLevelType w:val="hybridMultilevel"/>
    <w:tmpl w:val="0C4AB9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49538A3"/>
    <w:multiLevelType w:val="hybridMultilevel"/>
    <w:tmpl w:val="FBE62A24"/>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59E6419"/>
    <w:multiLevelType w:val="hybridMultilevel"/>
    <w:tmpl w:val="E7FAF4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2E54669"/>
    <w:multiLevelType w:val="hybridMultilevel"/>
    <w:tmpl w:val="6CDE20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6B91AEB"/>
    <w:multiLevelType w:val="hybridMultilevel"/>
    <w:tmpl w:val="A5B0B90C"/>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AC00A1A"/>
    <w:multiLevelType w:val="hybridMultilevel"/>
    <w:tmpl w:val="60AADCAE"/>
    <w:lvl w:ilvl="0" w:tplc="04070001">
      <w:start w:val="1"/>
      <w:numFmt w:val="bullet"/>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5" w15:restartNumberingAfterBreak="0">
    <w:nsid w:val="70F24BF2"/>
    <w:multiLevelType w:val="hybridMultilevel"/>
    <w:tmpl w:val="E7FAF4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679488C"/>
    <w:multiLevelType w:val="hybridMultilevel"/>
    <w:tmpl w:val="E246561A"/>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num w:numId="1">
    <w:abstractNumId w:val="3"/>
  </w:num>
  <w:num w:numId="2">
    <w:abstractNumId w:val="14"/>
  </w:num>
  <w:num w:numId="3">
    <w:abstractNumId w:val="16"/>
  </w:num>
  <w:num w:numId="4">
    <w:abstractNumId w:val="7"/>
  </w:num>
  <w:num w:numId="5">
    <w:abstractNumId w:val="4"/>
  </w:num>
  <w:num w:numId="6">
    <w:abstractNumId w:val="15"/>
  </w:num>
  <w:num w:numId="7">
    <w:abstractNumId w:val="8"/>
  </w:num>
  <w:num w:numId="8">
    <w:abstractNumId w:val="10"/>
  </w:num>
  <w:num w:numId="9">
    <w:abstractNumId w:val="13"/>
  </w:num>
  <w:num w:numId="10">
    <w:abstractNumId w:val="5"/>
  </w:num>
  <w:num w:numId="11">
    <w:abstractNumId w:val="9"/>
  </w:num>
  <w:num w:numId="12">
    <w:abstractNumId w:val="6"/>
  </w:num>
  <w:num w:numId="13">
    <w:abstractNumId w:val="0"/>
  </w:num>
  <w:num w:numId="14">
    <w:abstractNumId w:val="1"/>
  </w:num>
  <w:num w:numId="15">
    <w:abstractNumId w:val="2"/>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692"/>
    <w:rsid w:val="000010B6"/>
    <w:rsid w:val="00037733"/>
    <w:rsid w:val="00046713"/>
    <w:rsid w:val="00054189"/>
    <w:rsid w:val="0008418D"/>
    <w:rsid w:val="00085C49"/>
    <w:rsid w:val="000A6825"/>
    <w:rsid w:val="000B4B5F"/>
    <w:rsid w:val="000B53D1"/>
    <w:rsid w:val="000C6DBC"/>
    <w:rsid w:val="000D576A"/>
    <w:rsid w:val="000F5583"/>
    <w:rsid w:val="0010773D"/>
    <w:rsid w:val="00114B15"/>
    <w:rsid w:val="001572D2"/>
    <w:rsid w:val="00173D86"/>
    <w:rsid w:val="001C1582"/>
    <w:rsid w:val="001D2A46"/>
    <w:rsid w:val="001F539E"/>
    <w:rsid w:val="002054EF"/>
    <w:rsid w:val="00206A4A"/>
    <w:rsid w:val="00207FC9"/>
    <w:rsid w:val="002274B4"/>
    <w:rsid w:val="00236708"/>
    <w:rsid w:val="0023738E"/>
    <w:rsid w:val="0025120D"/>
    <w:rsid w:val="0028058A"/>
    <w:rsid w:val="002C256A"/>
    <w:rsid w:val="002D056A"/>
    <w:rsid w:val="002E2E33"/>
    <w:rsid w:val="002E75CB"/>
    <w:rsid w:val="002F58F1"/>
    <w:rsid w:val="003328C6"/>
    <w:rsid w:val="00340179"/>
    <w:rsid w:val="00354336"/>
    <w:rsid w:val="00365636"/>
    <w:rsid w:val="0037728B"/>
    <w:rsid w:val="00382640"/>
    <w:rsid w:val="003A6CCF"/>
    <w:rsid w:val="003D61E3"/>
    <w:rsid w:val="00437E87"/>
    <w:rsid w:val="0044764F"/>
    <w:rsid w:val="004926FB"/>
    <w:rsid w:val="00493E8E"/>
    <w:rsid w:val="004A5AC0"/>
    <w:rsid w:val="004C19AE"/>
    <w:rsid w:val="004C5E92"/>
    <w:rsid w:val="004C7393"/>
    <w:rsid w:val="004D18DD"/>
    <w:rsid w:val="004D2167"/>
    <w:rsid w:val="004D3BD1"/>
    <w:rsid w:val="004E316E"/>
    <w:rsid w:val="004F2280"/>
    <w:rsid w:val="005105DD"/>
    <w:rsid w:val="00515B21"/>
    <w:rsid w:val="0053157E"/>
    <w:rsid w:val="00542232"/>
    <w:rsid w:val="0055209F"/>
    <w:rsid w:val="00567935"/>
    <w:rsid w:val="005716D2"/>
    <w:rsid w:val="00573D4B"/>
    <w:rsid w:val="00587022"/>
    <w:rsid w:val="005A4370"/>
    <w:rsid w:val="005C2A06"/>
    <w:rsid w:val="005D548F"/>
    <w:rsid w:val="006174AF"/>
    <w:rsid w:val="00620DEC"/>
    <w:rsid w:val="0065236F"/>
    <w:rsid w:val="00675C27"/>
    <w:rsid w:val="00681F4F"/>
    <w:rsid w:val="006B1869"/>
    <w:rsid w:val="006C2EDE"/>
    <w:rsid w:val="00710E9F"/>
    <w:rsid w:val="00716B4D"/>
    <w:rsid w:val="00724192"/>
    <w:rsid w:val="00733A1E"/>
    <w:rsid w:val="00765CC2"/>
    <w:rsid w:val="007A1B4D"/>
    <w:rsid w:val="007A41EF"/>
    <w:rsid w:val="007B3686"/>
    <w:rsid w:val="007C373A"/>
    <w:rsid w:val="007F1ABE"/>
    <w:rsid w:val="007F3F35"/>
    <w:rsid w:val="007F6692"/>
    <w:rsid w:val="00803E7A"/>
    <w:rsid w:val="00822276"/>
    <w:rsid w:val="008222A1"/>
    <w:rsid w:val="00835571"/>
    <w:rsid w:val="00836F6E"/>
    <w:rsid w:val="00845355"/>
    <w:rsid w:val="00845687"/>
    <w:rsid w:val="00850290"/>
    <w:rsid w:val="00874A5F"/>
    <w:rsid w:val="00874A94"/>
    <w:rsid w:val="008957EC"/>
    <w:rsid w:val="008D6CF0"/>
    <w:rsid w:val="008F0948"/>
    <w:rsid w:val="008F65EA"/>
    <w:rsid w:val="009303EB"/>
    <w:rsid w:val="0093194B"/>
    <w:rsid w:val="00951238"/>
    <w:rsid w:val="00960FDB"/>
    <w:rsid w:val="00961C71"/>
    <w:rsid w:val="009A793B"/>
    <w:rsid w:val="009B0DAD"/>
    <w:rsid w:val="009B59B5"/>
    <w:rsid w:val="009C554F"/>
    <w:rsid w:val="009C5C4B"/>
    <w:rsid w:val="009D356A"/>
    <w:rsid w:val="009E6658"/>
    <w:rsid w:val="009F1425"/>
    <w:rsid w:val="009F3D05"/>
    <w:rsid w:val="00A01C9E"/>
    <w:rsid w:val="00A37928"/>
    <w:rsid w:val="00A96859"/>
    <w:rsid w:val="00AB0761"/>
    <w:rsid w:val="00AB63BD"/>
    <w:rsid w:val="00AC4D38"/>
    <w:rsid w:val="00AD30FF"/>
    <w:rsid w:val="00AD4475"/>
    <w:rsid w:val="00B103E9"/>
    <w:rsid w:val="00B15E09"/>
    <w:rsid w:val="00B163F2"/>
    <w:rsid w:val="00B24002"/>
    <w:rsid w:val="00B42893"/>
    <w:rsid w:val="00B45C4C"/>
    <w:rsid w:val="00B5735D"/>
    <w:rsid w:val="00B616CD"/>
    <w:rsid w:val="00B75BD2"/>
    <w:rsid w:val="00B95187"/>
    <w:rsid w:val="00B96138"/>
    <w:rsid w:val="00BA2275"/>
    <w:rsid w:val="00BB41AE"/>
    <w:rsid w:val="00BC4C6F"/>
    <w:rsid w:val="00BD5865"/>
    <w:rsid w:val="00BE1AF1"/>
    <w:rsid w:val="00BE38E7"/>
    <w:rsid w:val="00C05A78"/>
    <w:rsid w:val="00C13D32"/>
    <w:rsid w:val="00C24390"/>
    <w:rsid w:val="00C941F6"/>
    <w:rsid w:val="00CA339C"/>
    <w:rsid w:val="00CA7B68"/>
    <w:rsid w:val="00CB6428"/>
    <w:rsid w:val="00CB75D2"/>
    <w:rsid w:val="00CD0B07"/>
    <w:rsid w:val="00CD2E46"/>
    <w:rsid w:val="00CD54B2"/>
    <w:rsid w:val="00CE7EC9"/>
    <w:rsid w:val="00D16486"/>
    <w:rsid w:val="00D2334D"/>
    <w:rsid w:val="00D53D5D"/>
    <w:rsid w:val="00D90403"/>
    <w:rsid w:val="00DA6BD9"/>
    <w:rsid w:val="00DC2FBB"/>
    <w:rsid w:val="00DF7048"/>
    <w:rsid w:val="00E122A7"/>
    <w:rsid w:val="00E12898"/>
    <w:rsid w:val="00E15383"/>
    <w:rsid w:val="00E35285"/>
    <w:rsid w:val="00E419B8"/>
    <w:rsid w:val="00E55235"/>
    <w:rsid w:val="00E5547E"/>
    <w:rsid w:val="00E61D38"/>
    <w:rsid w:val="00E67D4B"/>
    <w:rsid w:val="00E73115"/>
    <w:rsid w:val="00E7367C"/>
    <w:rsid w:val="00E949CC"/>
    <w:rsid w:val="00E95FC8"/>
    <w:rsid w:val="00EA732B"/>
    <w:rsid w:val="00EA7E6A"/>
    <w:rsid w:val="00EB3A42"/>
    <w:rsid w:val="00ED3C27"/>
    <w:rsid w:val="00EF0D22"/>
    <w:rsid w:val="00F13A2C"/>
    <w:rsid w:val="00F43BCB"/>
    <w:rsid w:val="00F46039"/>
    <w:rsid w:val="00F621E8"/>
    <w:rsid w:val="00FB5D33"/>
    <w:rsid w:val="00FB6FC0"/>
    <w:rsid w:val="00FE313D"/>
    <w:rsid w:val="00FE7C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DFC59"/>
  <w15:chartTrackingRefBased/>
  <w15:docId w15:val="{351ADCF5-537A-4503-B5F8-3E184BE9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F669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A6CCF"/>
    <w:pPr>
      <w:ind w:left="720"/>
      <w:contextualSpacing/>
    </w:pPr>
  </w:style>
  <w:style w:type="paragraph" w:styleId="Sprechblasentext">
    <w:name w:val="Balloon Text"/>
    <w:basedOn w:val="Standard"/>
    <w:link w:val="SprechblasentextZchn"/>
    <w:uiPriority w:val="99"/>
    <w:semiHidden/>
    <w:unhideWhenUsed/>
    <w:rsid w:val="0053157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3157E"/>
    <w:rPr>
      <w:rFonts w:ascii="Segoe UI" w:hAnsi="Segoe UI" w:cs="Segoe UI"/>
      <w:sz w:val="18"/>
      <w:szCs w:val="18"/>
    </w:rPr>
  </w:style>
  <w:style w:type="paragraph" w:customStyle="1" w:styleId="DeckblattBearbeiter">
    <w:name w:val="Deckblatt Bearbeiter"/>
    <w:basedOn w:val="Standard"/>
    <w:qFormat/>
    <w:rsid w:val="00F621E8"/>
    <w:pPr>
      <w:tabs>
        <w:tab w:val="left" w:pos="3402"/>
      </w:tabs>
      <w:overflowPunct w:val="0"/>
      <w:autoSpaceDE w:val="0"/>
      <w:autoSpaceDN w:val="0"/>
      <w:adjustRightInd w:val="0"/>
      <w:spacing w:after="0" w:line="240" w:lineRule="auto"/>
      <w:ind w:left="3402" w:hanging="3402"/>
      <w:textAlignment w:val="baseline"/>
    </w:pPr>
    <w:rPr>
      <w:rFonts w:ascii="Myriad Pro" w:eastAsia="Times New Roman" w:hAnsi="Myriad Pro" w:cs="Times New Roman"/>
      <w:b/>
      <w:bCs/>
      <w:sz w:val="26"/>
      <w:szCs w:val="20"/>
      <w:lang w:eastAsia="de-DE"/>
    </w:rPr>
  </w:style>
  <w:style w:type="character" w:styleId="Platzhaltertext">
    <w:name w:val="Placeholder Text"/>
    <w:basedOn w:val="Absatz-Standardschriftart"/>
    <w:uiPriority w:val="99"/>
    <w:semiHidden/>
    <w:rsid w:val="00C941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495005">
      <w:bodyDiv w:val="1"/>
      <w:marLeft w:val="0"/>
      <w:marRight w:val="0"/>
      <w:marTop w:val="0"/>
      <w:marBottom w:val="0"/>
      <w:divBdr>
        <w:top w:val="none" w:sz="0" w:space="0" w:color="auto"/>
        <w:left w:val="none" w:sz="0" w:space="0" w:color="auto"/>
        <w:bottom w:val="none" w:sz="0" w:space="0" w:color="auto"/>
        <w:right w:val="none" w:sz="0" w:space="0" w:color="auto"/>
      </w:divBdr>
    </w:div>
    <w:div w:id="1098214960">
      <w:bodyDiv w:val="1"/>
      <w:marLeft w:val="0"/>
      <w:marRight w:val="0"/>
      <w:marTop w:val="0"/>
      <w:marBottom w:val="0"/>
      <w:divBdr>
        <w:top w:val="none" w:sz="0" w:space="0" w:color="auto"/>
        <w:left w:val="none" w:sz="0" w:space="0" w:color="auto"/>
        <w:bottom w:val="none" w:sz="0" w:space="0" w:color="auto"/>
        <w:right w:val="none" w:sz="0" w:space="0" w:color="auto"/>
      </w:divBdr>
    </w:div>
    <w:div w:id="11970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1851</Words>
  <Characters>11665</Characters>
  <Application>Microsoft Office Word</Application>
  <DocSecurity>0</DocSecurity>
  <Lines>97</Lines>
  <Paragraphs>26</Paragraphs>
  <ScaleCrop>false</ScaleCrop>
  <HeadingPairs>
    <vt:vector size="2" baseType="variant">
      <vt:variant>
        <vt:lpstr>Titel</vt:lpstr>
      </vt:variant>
      <vt:variant>
        <vt:i4>1</vt:i4>
      </vt:variant>
    </vt:vector>
  </HeadingPairs>
  <TitlesOfParts>
    <vt:vector size="1" baseType="lpstr">
      <vt:lpstr/>
    </vt:vector>
  </TitlesOfParts>
  <Company>LFA MV</Company>
  <LinksUpToDate>false</LinksUpToDate>
  <CharactersWithSpaces>13490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V.</dc:creator>
  <cp:keywords/>
  <dc:description/>
  <cp:lastModifiedBy>de Mol, F.</cp:lastModifiedBy>
  <cp:revision>3</cp:revision>
  <cp:lastPrinted>2021-10-11T12:50:00Z</cp:lastPrinted>
  <dcterms:created xsi:type="dcterms:W3CDTF">2024-11-11T07:52:00Z</dcterms:created>
  <dcterms:modified xsi:type="dcterms:W3CDTF">2024-11-11T07:55:00Z</dcterms:modified>
</cp:coreProperties>
</file>